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2832" w:right="0" w:firstLine="708"/>
        <w:rPr/>
      </w:pPr>
      <w:r>
        <w:rPr/>
      </w:r>
    </w:p>
    <w:p>
      <w:pPr>
        <w:pStyle w:val="Normal"/>
        <w:widowControl w:val="false"/>
        <w:numPr>
          <w:ilvl w:val="0"/>
          <w:numId w:val="1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Сведения о финансировании и освоении средств муниципальной программы</w:t>
      </w:r>
    </w:p>
    <w:p>
      <w:pPr>
        <w:pStyle w:val="Normal"/>
        <w:widowControl w:val="false"/>
        <w:ind w:left="1069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left="0" w:right="0" w:firstLine="709"/>
        <w:jc w:val="right"/>
        <w:rPr/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>(тыс. рублей)</w:t>
      </w:r>
    </w:p>
    <w:tbl>
      <w:tblPr>
        <w:tblW w:w="4950" w:type="pct"/>
        <w:jc w:val="center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981"/>
        <w:gridCol w:w="1293"/>
        <w:gridCol w:w="1166"/>
        <w:gridCol w:w="3"/>
        <w:gridCol w:w="1124"/>
        <w:gridCol w:w="1267"/>
        <w:gridCol w:w="3"/>
        <w:gridCol w:w="1126"/>
        <w:gridCol w:w="1127"/>
        <w:gridCol w:w="3"/>
        <w:gridCol w:w="1339"/>
        <w:gridCol w:w="1267"/>
        <w:gridCol w:w="4"/>
        <w:gridCol w:w="981"/>
        <w:gridCol w:w="860"/>
      </w:tblGrid>
      <w:tr>
        <w:trPr>
          <w:trHeight w:val="501" w:hRule="atLeast"/>
        </w:trPr>
        <w:tc>
          <w:tcPr>
            <w:tcW w:w="3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24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left="-2006" w:right="-1786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Средства федерального</w:t>
            </w:r>
          </w:p>
          <w:p>
            <w:pPr>
              <w:pStyle w:val="Normal"/>
              <w:jc w:val="center"/>
              <w:rPr/>
            </w:pPr>
            <w:r>
              <w:rPr/>
              <w:t>бюджета</w:t>
            </w:r>
          </w:p>
        </w:tc>
        <w:tc>
          <w:tcPr>
            <w:tcW w:w="2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Средства </w:t>
            </w:r>
          </w:p>
          <w:p>
            <w:pPr>
              <w:pStyle w:val="Normal"/>
              <w:jc w:val="center"/>
              <w:rPr/>
            </w:pPr>
            <w:r>
              <w:rPr/>
              <w:t>областного</w:t>
            </w:r>
          </w:p>
          <w:p>
            <w:pPr>
              <w:pStyle w:val="Normal"/>
              <w:jc w:val="center"/>
              <w:rPr/>
            </w:pPr>
            <w:r>
              <w:rPr/>
              <w:t>бюджета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Средства бюджета </w:t>
            </w:r>
          </w:p>
          <w:p>
            <w:pPr>
              <w:pStyle w:val="Normal"/>
              <w:jc w:val="center"/>
              <w:rPr/>
            </w:pPr>
            <w:r>
              <w:rPr/>
              <w:t>Великого Новгорода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229" w:right="0" w:hanging="180"/>
              <w:jc w:val="center"/>
              <w:rPr/>
            </w:pPr>
            <w:r>
              <w:rPr/>
              <w:t>Внебюджетные</w:t>
            </w:r>
          </w:p>
          <w:p>
            <w:pPr>
              <w:pStyle w:val="Normal"/>
              <w:jc w:val="center"/>
              <w:rPr/>
            </w:pPr>
            <w:r>
              <w:rPr/>
              <w:t>источники</w:t>
            </w:r>
          </w:p>
        </w:tc>
      </w:tr>
      <w:tr>
        <w:trPr>
          <w:trHeight w:val="805" w:hRule="atLeast"/>
        </w:trPr>
        <w:tc>
          <w:tcPr>
            <w:tcW w:w="3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  <w:p>
            <w:pPr>
              <w:pStyle w:val="Normal"/>
              <w:jc w:val="center"/>
              <w:rPr/>
            </w:pPr>
            <w:r>
              <w:rPr/>
              <w:t>на год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кассовый</w:t>
            </w:r>
          </w:p>
          <w:p>
            <w:pPr>
              <w:pStyle w:val="Normal"/>
              <w:jc w:val="center"/>
              <w:rPr/>
            </w:pPr>
            <w:r>
              <w:rPr/>
              <w:t>расход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план </w:t>
            </w:r>
          </w:p>
          <w:p>
            <w:pPr>
              <w:pStyle w:val="Normal"/>
              <w:jc w:val="center"/>
              <w:rPr/>
            </w:pPr>
            <w:r>
              <w:rPr/>
              <w:t>на год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кассовый </w:t>
            </w:r>
          </w:p>
          <w:p>
            <w:pPr>
              <w:pStyle w:val="Normal"/>
              <w:jc w:val="center"/>
              <w:rPr/>
            </w:pPr>
            <w:r>
              <w:rPr/>
              <w:t>расход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план </w:t>
            </w:r>
          </w:p>
          <w:p>
            <w:pPr>
              <w:pStyle w:val="Normal"/>
              <w:jc w:val="center"/>
              <w:rPr/>
            </w:pPr>
            <w:r>
              <w:rPr/>
              <w:t>на год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кассовый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расход 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план </w:t>
            </w:r>
          </w:p>
          <w:p>
            <w:pPr>
              <w:pStyle w:val="Normal"/>
              <w:jc w:val="center"/>
              <w:rPr/>
            </w:pPr>
            <w:r>
              <w:rPr/>
              <w:t>на год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кассовый </w:t>
            </w:r>
          </w:p>
          <w:p>
            <w:pPr>
              <w:pStyle w:val="Normal"/>
              <w:jc w:val="center"/>
              <w:rPr/>
            </w:pPr>
            <w:r>
              <w:rPr/>
              <w:t>расход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план</w:t>
            </w:r>
          </w:p>
          <w:p>
            <w:pPr>
              <w:pStyle w:val="Normal"/>
              <w:jc w:val="center"/>
              <w:rPr/>
            </w:pPr>
            <w:r>
              <w:rPr/>
              <w:t>на год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кассовый</w:t>
            </w:r>
          </w:p>
          <w:p>
            <w:pPr>
              <w:pStyle w:val="Normal"/>
              <w:jc w:val="center"/>
              <w:rPr/>
            </w:pPr>
            <w:r>
              <w:rPr/>
              <w:t>расход</w:t>
            </w:r>
          </w:p>
        </w:tc>
      </w:tr>
      <w:tr>
        <w:trPr>
          <w:trHeight w:val="569" w:hRule="atLeast"/>
        </w:trPr>
        <w:tc>
          <w:tcPr>
            <w:tcW w:w="39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14</w:t>
            </w:r>
          </w:p>
        </w:tc>
      </w:tr>
      <w:tr>
        <w:trPr>
          <w:trHeight w:val="840" w:hRule="atLeast"/>
        </w:trPr>
        <w:tc>
          <w:tcPr>
            <w:tcW w:w="39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Всего по муниципальной программе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26361,2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26153,0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26361,2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26153,0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90" w:hRule="atLeast"/>
        </w:trPr>
        <w:tc>
          <w:tcPr>
            <w:tcW w:w="39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 xml:space="preserve">в том числе: 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90" w:hRule="atLeast"/>
        </w:trPr>
        <w:tc>
          <w:tcPr>
            <w:tcW w:w="398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1. «Реализация первичных мер пожарной безопасности на территории Великого Новгорода»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5996,4</w:t>
            </w:r>
          </w:p>
        </w:tc>
        <w:tc>
          <w:tcPr>
            <w:tcW w:w="116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5996,4</w:t>
            </w:r>
          </w:p>
        </w:tc>
        <w:tc>
          <w:tcPr>
            <w:tcW w:w="1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5996,4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5996,4</w:t>
            </w:r>
          </w:p>
        </w:tc>
        <w:tc>
          <w:tcPr>
            <w:tcW w:w="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90" w:hRule="atLeast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2. «Развитие и эксплуатация аппаратно-программного комплекса «Безопасный город» на территории Великого Новгорода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390" w:hRule="atLeast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3. «Обеспечение безопасности и охраны жизни людей на водных объектах, оборудование и оснащение спасательных постов в местах массового отдыха населения и обучение населения плаванию и приемам спасания на воде в Великом Новгороде»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82,1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82,1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  <w:tr>
        <w:trPr>
          <w:trHeight w:val="1298" w:hRule="atLeast"/>
        </w:trPr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/>
              <w:t>4. «Обеспечение реализации муниципальной программы Великого Новгорода «Защита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территории Великого Новгорода» на 2015-2017 годы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20282,7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20156,6</w:t>
            </w:r>
          </w:p>
        </w:tc>
        <w:tc>
          <w:tcPr>
            <w:tcW w:w="1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20282,7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20156,6</w:t>
            </w:r>
          </w:p>
        </w:tc>
        <w:tc>
          <w:tcPr>
            <w:tcW w:w="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</w:tr>
    </w:tbl>
    <w:p>
      <w:pPr>
        <w:pStyle w:val="Normal"/>
        <w:widowControl w:val="false"/>
        <w:ind w:left="2832" w:right="0" w:firstLine="708"/>
        <w:rPr/>
      </w:pPr>
      <w:r>
        <w:rPr/>
      </w:r>
    </w:p>
    <w:p>
      <w:pPr>
        <w:pStyle w:val="Normal"/>
        <w:widowControl w:val="false"/>
        <w:ind w:left="2832" w:right="0" w:firstLine="708"/>
        <w:rPr/>
      </w:pPr>
      <w:r>
        <w:rPr>
          <w:b/>
        </w:rPr>
        <w:t>2</w:t>
      </w:r>
      <w:r>
        <w:rPr>
          <w:b/>
          <w:sz w:val="28"/>
          <w:szCs w:val="28"/>
        </w:rPr>
        <w:t xml:space="preserve">. </w:t>
      </w:r>
      <w:r>
        <w:rPr>
          <w:b/>
        </w:rPr>
        <w:t>Сведения о выполнении мероприятий муниципальной программы</w:t>
      </w:r>
    </w:p>
    <w:p>
      <w:pPr>
        <w:pStyle w:val="Normal"/>
        <w:widowControl w:val="false"/>
        <w:jc w:val="center"/>
        <w:rPr>
          <w:b/>
          <w:b/>
        </w:rPr>
      </w:pPr>
      <w:r>
        <w:rPr>
          <w:b/>
        </w:rPr>
        <w:t xml:space="preserve">«Защита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 территории Великого Новгорода» </w:t>
        <w:br/>
        <w:t>на  2017-2023 годы, за 2020 год</w:t>
      </w:r>
    </w:p>
    <w:p>
      <w:pPr>
        <w:pStyle w:val="Normal"/>
        <w:widowControl w:val="false"/>
        <w:jc w:val="both"/>
        <w:rPr>
          <w:b/>
          <w:b/>
          <w:sz w:val="28"/>
        </w:rPr>
      </w:pPr>
      <w:r>
        <w:rPr>
          <w:b/>
          <w:sz w:val="28"/>
        </w:rPr>
      </w:r>
    </w:p>
    <w:tbl>
      <w:tblPr>
        <w:tblW w:w="156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5066"/>
        <w:gridCol w:w="893"/>
        <w:gridCol w:w="6145"/>
        <w:gridCol w:w="2809"/>
      </w:tblGrid>
      <w:tr>
        <w:trPr>
          <w:trHeight w:val="1105" w:hRule="atLeast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/>
            </w:pPr>
            <w:r>
              <w:rPr/>
              <w:t>№</w:t>
            </w:r>
          </w:p>
          <w:p>
            <w:pPr>
              <w:pStyle w:val="Normal"/>
              <w:keepLines/>
              <w:jc w:val="center"/>
              <w:rPr/>
            </w:pPr>
            <w:r>
              <w:rPr/>
              <w:t>п/п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066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ации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реализации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Проблемы, возникшие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ходе реализации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</w:tbl>
    <w:p>
      <w:pPr>
        <w:pStyle w:val="Normal"/>
        <w:widowControl w:val="false"/>
        <w:spacing w:lineRule="auto" w:line="7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156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760"/>
        <w:gridCol w:w="5"/>
        <w:gridCol w:w="48"/>
        <w:gridCol w:w="849"/>
        <w:gridCol w:w="3"/>
        <w:gridCol w:w="6198"/>
        <w:gridCol w:w="4"/>
        <w:gridCol w:w="2835"/>
      </w:tblGrid>
      <w:tr>
        <w:trPr>
          <w:tblHeader w:val="true"/>
          <w:trHeight w:val="25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25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Подпрограмма. Реализация первичных мер пожарной безопасности на территории Великого Новгорода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26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jc w:val="both"/>
              <w:rPr/>
            </w:pPr>
            <w:r>
              <w:rPr/>
              <w:t>Проведение работ по выпуску и размещению наглядно-изобразительных материалов, рекламной продукции по противопожарной тематике и оформление уголков безопасности в помещениях, занимаемых органами местного самоуправления Великого Новгорода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/>
            </w:pPr>
            <w:r>
              <w:rPr/>
              <w:t>2020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Средства секвестированы</w:t>
            </w:r>
            <w:r>
              <w:rPr/>
              <w:t xml:space="preserve"> решением Думы Великого Новгорода от 24.12.2020 № 509. </w:t>
            </w:r>
          </w:p>
        </w:tc>
      </w:tr>
      <w:tr>
        <w:trPr>
          <w:trHeight w:val="26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jc w:val="both"/>
              <w:rPr/>
            </w:pPr>
            <w:r>
              <w:rPr/>
              <w:t>Проведения работ по  проектированию, оборудованию и ремонту систем оповещения людей о пожаре и автоматической пожарной сигнализации в помещениях, занимаемых органами местного самоуправления Великого Новгорода и подведомственными муниципальными учреждениями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/>
            </w:pPr>
            <w:r>
              <w:rPr/>
              <w:t>2020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>
                <w:b/>
              </w:rPr>
              <w:t>Комитет по образованию</w:t>
            </w:r>
            <w:r>
              <w:rPr/>
              <w:t xml:space="preserve"> - ремонт систем оповещения  : МАДОУ «Детский сад № 42», № 52, № 58, № 60, № 86; МАОУ «Гимназия «Эврика», Гимназия № 3, «СОШ № 4», № 9, № 15 на сумму 919,4 тыс. рублей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056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/>
            </w:pPr>
            <w:r>
              <w:rPr>
                <w:sz w:val="24"/>
                <w:szCs w:val="24"/>
              </w:rPr>
              <w:t>1.1.</w:t>
            </w: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both"/>
              <w:rPr/>
            </w:pPr>
            <w:r>
              <w:rPr/>
              <w:t>Проведение работ по оборудованию автоматических систем пожарной сигнализации в муниципальных учреждениях Великого Новгорода классов функциональной опасности Ф1.1, Ф1.2, Ф4.1,  Ф4.2 специальными средствами, передающими в автоматическом режиме сигнал о возникновении пожара непосредственно в  подразделения пожарной охраны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both"/>
              <w:rPr/>
            </w:pPr>
            <w:r>
              <w:rPr>
                <w:b/>
                <w:bCs w:val="false"/>
              </w:rPr>
              <w:t>Комитет культуры и молодежной политики</w:t>
            </w:r>
            <w:r>
              <w:rPr>
                <w:b w:val="false"/>
                <w:bCs w:val="false"/>
              </w:rPr>
              <w:t xml:space="preserve"> –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монтаж системы речевого оповещения  в МАУК «Городской центр культуры и досуга им. Н.Г. Васильева» на сумму 245,0 тыс. рублей; МАУКиИ «ЦКИиОИ «Диалог» на сумму 55,0  тыс. рублей.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056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snapToGrid w:val="false"/>
              <w:rPr/>
            </w:pPr>
            <w:r>
              <w:rPr>
                <w:sz w:val="24"/>
                <w:szCs w:val="24"/>
              </w:rPr>
              <w:t>1.1.</w:t>
            </w: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4.</w:t>
            </w:r>
          </w:p>
        </w:tc>
        <w:tc>
          <w:tcPr>
            <w:tcW w:w="4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электрических сетей, электрооборудования и проведение замеров сопротивления изоляции в помещениях, занимаемых органами местного самоуправления Великого Новгорода и подведомственными муниципальными учреждениями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both"/>
              <w:rPr/>
            </w:pPr>
            <w:r>
              <w:rPr>
                <w:b/>
              </w:rPr>
              <w:t xml:space="preserve">Комитет по образованию — </w:t>
            </w:r>
            <w:r>
              <w:rPr>
                <w:b w:val="false"/>
                <w:bCs w:val="false"/>
              </w:rPr>
              <w:t>ремонт электрических сетей и электрооборудования в МАОУ «СОШ № 4» на сумму 100,0 тыс. рублей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78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jc w:val="both"/>
              <w:rPr/>
            </w:pPr>
            <w:r>
              <w:rPr/>
              <w:t>Проведение работ по обеспечению пожарной безопасности на объектах с массовым пребыванием людей и в помещениях, занимаемых органами местного самоуправления Великого Новгорода, проектирование и ремонт внутреннего противопожарного водопровода, огнезащитная обработка сгораемых конструкций, установка наружных пожарных лестниц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jc w:val="center"/>
              <w:rPr/>
            </w:pPr>
            <w:r>
              <w:rPr/>
              <w:t>20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20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jc w:val="both"/>
              <w:rPr/>
            </w:pPr>
            <w:r>
              <w:rPr>
                <w:b/>
              </w:rPr>
              <w:t>Комитет по образованию</w:t>
            </w:r>
            <w:r>
              <w:rPr/>
              <w:t xml:space="preserve"> – Проектирование и ремонт внутреннего противопожарного водопровода на сумму 628,3 тыс. рублей проведено в МАДОУ «Детский сад № 53», № 58, № 75, № 95, «Гимназия № 4», «Сош № 4». Ремонт путей эвакуации на сумму 1499,4 тыс. рублей проведен в МАДОУ «Детский сад № 16», № 26, № 49, № 95; «Гимназия № 3»; «СОШ № 16», № 18, № 25; МБОУ «Лицей -интернат». Огнезащитная обработка сгораемых конструкций на сумму 624,2 тыс. рублей проведена в МАДОУ «Детский сад № 26», № 77; Гимназия «Новоскул», «Эврика»; «СОШ № 18», № 22, № 25; «Лицей -интернат».Установка и испытание наружных пожарных лестниц на сумму 81,1 тыс. рублей проведен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о в </w:t>
            </w:r>
            <w:r>
              <w:rPr/>
              <w:t xml:space="preserve"> МАДОУ « Детский сад № 3», № 26, № 41, № 74, № 95,  МАОУ «СОШ № 25», № 34. Ограждение кровли на сумму 545,6 тыс. рублей проведено в МАОУ «СОШ № 34», Гимназия «Эврика». Проведена зарядка огнетушителей на сумму 118,7 тыс. рублей в Гимназия «Эврика», «СОШ  №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17»,  № 25,  № 34.</w:t>
            </w:r>
          </w:p>
          <w:p>
            <w:pPr>
              <w:pStyle w:val="Normal"/>
              <w:keepLines/>
              <w:widowControl w:val="false"/>
              <w:jc w:val="both"/>
              <w:rPr/>
            </w:pPr>
            <w:r>
              <w:rPr>
                <w:b/>
              </w:rPr>
              <w:t>Комитет культуры и молодежной политики</w:t>
            </w:r>
            <w:r>
              <w:rPr/>
              <w:t xml:space="preserve"> – </w:t>
            </w:r>
          </w:p>
          <w:p>
            <w:pPr>
              <w:pStyle w:val="Normal"/>
              <w:keepLines/>
              <w:widowControl w:val="false"/>
              <w:jc w:val="both"/>
              <w:rPr/>
            </w:pPr>
            <w:r>
              <w:rPr/>
              <w:t>в МАУКиИ «ЦКИиОИ «Диалог» проведена огнезащитная обработка сгораемых конструкций — 59,9 тыс. рублей; работы по испытанию противопожарного водопровода — 5,7 тыс. рублей.</w:t>
            </w:r>
          </w:p>
          <w:p>
            <w:pPr>
              <w:pStyle w:val="Normal"/>
              <w:keepLines/>
              <w:widowControl w:val="false"/>
              <w:jc w:val="both"/>
              <w:rPr/>
            </w:pPr>
            <w:r>
              <w:rPr>
                <w:b/>
              </w:rPr>
              <w:t xml:space="preserve">Управление по физической культуре и спорту – </w:t>
            </w:r>
            <w:r>
              <w:rPr/>
              <w:t xml:space="preserve"> 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в</w:t>
            </w:r>
            <w:r>
              <w:rPr/>
              <w:t xml:space="preserve"> МАУ «СШ № 2», МАУ «СШ № 3» проведена огнезащитная обработка сгораемых конструкций на сумму 77,9 тыс. рублей,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з</w:t>
            </w:r>
            <w:r>
              <w:rPr/>
              <w:t>арядка огнетушителей  на  сумму 12,7 тыс. рублей,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/>
              <w:t xml:space="preserve">проведение замеров сопротивления изоляции электропроводки  на сумму 11,0 тыс. рублей;     </w:t>
            </w:r>
          </w:p>
          <w:p>
            <w:pPr>
              <w:pStyle w:val="Normal"/>
              <w:widowControl w:val="false"/>
              <w:ind w:left="0" w:right="0" w:hanging="0"/>
              <w:jc w:val="both"/>
              <w:rPr/>
            </w:pPr>
            <w:r>
              <w:rPr/>
              <w:t>в МАУ «СШОР № 4» проведено измерение работоспособности вентиляции на сумму 3,4 тыс. рублей, ремонт системы пожарной сигнализации на сумму 45,0 тыс. рублей.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783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jc w:val="both"/>
              <w:rPr/>
            </w:pPr>
            <w:r>
              <w:rPr/>
              <w:t>Содержание и ремонт источников наружного противопожарного водоснабжение на территории Великого Новгорода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jc w:val="center"/>
              <w:rPr/>
            </w:pPr>
            <w:r>
              <w:rPr/>
              <w:t>20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20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jc w:val="both"/>
              <w:rPr/>
            </w:pPr>
            <w:r>
              <w:rPr>
                <w:b/>
              </w:rPr>
              <w:t>Комитет по управлению городским хозяйством</w:t>
            </w:r>
            <w:r>
              <w:rPr/>
              <w:t xml:space="preserve"> – </w:t>
            </w:r>
          </w:p>
          <w:p>
            <w:pPr>
              <w:pStyle w:val="Normal"/>
              <w:keepLines/>
              <w:widowControl w:val="false"/>
              <w:jc w:val="both"/>
              <w:rPr/>
            </w:pPr>
            <w:r>
              <w:rPr/>
              <w:t xml:space="preserve">Содержание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пожарных гидрантов </w:t>
            </w:r>
            <w:r>
              <w:rPr/>
              <w:t xml:space="preserve">в работоспособном состоянии –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 xml:space="preserve">1187 на </w:t>
            </w:r>
            <w:r>
              <w:rPr/>
              <w:t>сумму 964,0 тыс. рублей: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замена ПГ-57 шт.; откачка колодца -50 шт.; замена болтов, гаек -12 шт.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widowControl w:val="false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70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>Подпрограмма. Развитие и эксплуатация аппаратно-программного комплекса «Безопасный город» на территории Великого Новгорода.</w:t>
            </w:r>
          </w:p>
        </w:tc>
      </w:tr>
      <w:tr>
        <w:trPr>
          <w:trHeight w:val="707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/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76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>Развитие единой дежурно-диспетчерской службы Великого Новгорода</w:t>
            </w:r>
          </w:p>
        </w:tc>
        <w:tc>
          <w:tcPr>
            <w:tcW w:w="897" w:type="dxa"/>
            <w:gridSpan w:val="2"/>
            <w:tcBorders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jc w:val="both"/>
              <w:rPr/>
            </w:pPr>
            <w:r>
              <w:rPr/>
            </w:r>
          </w:p>
        </w:tc>
        <w:tc>
          <w:tcPr>
            <w:tcW w:w="9040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>Проведение мероприятий по развитию ЕДДС Великого Новгорода проводились в рамках основной деятельности МКУ «Управление по делам ГО и ЧС Великого Новгорода»</w:t>
            </w:r>
          </w:p>
        </w:tc>
      </w:tr>
      <w:tr>
        <w:trPr>
          <w:trHeight w:val="707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/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3.</w:t>
            </w:r>
          </w:p>
        </w:tc>
        <w:tc>
          <w:tcPr>
            <w:tcW w:w="147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>Подпрограмма. Обеспечение безопасности и охраны жизни людей на водных объектах, оборудование и оснащение спасательных постов в местах массового отдыха населения и обучение плаванию и приемам спасания на воде в Великом Новгороде</w:t>
            </w:r>
          </w:p>
        </w:tc>
      </w:tr>
      <w:tr>
        <w:trPr>
          <w:trHeight w:val="70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3.1.</w:t>
            </w:r>
          </w:p>
        </w:tc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Проведение мероприятий, обеспечивающих эффективность мер по охране жизни людей на водных объектах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>20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20</w:t>
            </w:r>
          </w:p>
        </w:tc>
        <w:tc>
          <w:tcPr>
            <w:tcW w:w="6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Дежурство спасателей на местах массового отдыха людей.</w:t>
            </w:r>
          </w:p>
          <w:p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постов средствами спасения людей.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проводились в рамках основной деятельности учреждения.</w:t>
            </w:r>
          </w:p>
        </w:tc>
      </w:tr>
      <w:tr>
        <w:trPr>
          <w:trHeight w:val="707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3.2.</w:t>
            </w:r>
          </w:p>
        </w:tc>
        <w:tc>
          <w:tcPr>
            <w:tcW w:w="476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>Подготовка мест массового отдыха людей на водных объектах Великого Новгорода</w:t>
            </w:r>
          </w:p>
        </w:tc>
        <w:tc>
          <w:tcPr>
            <w:tcW w:w="90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>20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20</w:t>
            </w:r>
          </w:p>
        </w:tc>
        <w:tc>
          <w:tcPr>
            <w:tcW w:w="62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>1) Акт выполнения водолазных работ на водном объекте  – опасных предметов не обнаружено.</w:t>
            </w:r>
          </w:p>
          <w:p>
            <w:pPr>
              <w:pStyle w:val="Normal"/>
              <w:keepLines/>
              <w:jc w:val="both"/>
              <w:rPr/>
            </w:pPr>
            <w:r>
              <w:rPr/>
              <w:t xml:space="preserve">Проведение санитарно-эпидемиологической экспертизы места массового отдыха населения на водных объектах(исследование почвы и воды)- санитарно-эпидемиологическая экспертиза р. Волхов, пляжа в Юрьево №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53.01.01.000.М.000168.06.20 от 25.06.2020 г.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keepLines/>
              <w:jc w:val="both"/>
              <w:rPr/>
            </w:pPr>
            <w:r>
              <w:rPr/>
              <w:t>2) Изготовление дополнительных знаков для установки в местах массового отдыха людей в 2020 не потребовалось.</w:t>
            </w:r>
          </w:p>
        </w:tc>
        <w:tc>
          <w:tcPr>
            <w:tcW w:w="28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проводились в рамках основной деятельности учреждения.</w:t>
            </w:r>
          </w:p>
        </w:tc>
      </w:tr>
      <w:tr>
        <w:trPr>
          <w:trHeight w:val="707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/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4.</w:t>
            </w:r>
          </w:p>
        </w:tc>
        <w:tc>
          <w:tcPr>
            <w:tcW w:w="147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 xml:space="preserve">Подпрограмма.  Обеспечение реализации муниципальной программы Великого Новгорода  «Защита населения и территорий от чрезвычайных ситуаций природного  и техногенного характера, обеспечение первичных мер пожарной безопасности и безопасности людей на водных объектах на территории Великого Новгорода» на 2017 - 2023 годы </w:t>
            </w:r>
          </w:p>
        </w:tc>
      </w:tr>
      <w:tr>
        <w:trPr>
          <w:trHeight w:val="933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4.1.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 МКУ «Управление по делам ГО и ЧС Великого Новгорода»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/>
            </w:pPr>
            <w:r>
              <w:rPr/>
              <w:t>20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20</w:t>
            </w:r>
          </w:p>
          <w:p>
            <w:pPr>
              <w:pStyle w:val="Normal"/>
              <w:keepLines/>
              <w:jc w:val="both"/>
              <w:rPr/>
            </w:pPr>
            <w:r>
              <w:rPr/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 xml:space="preserve">расходы на содержание МКУ «Управление по делам ГО и ЧС Великого Новгорода» -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20 156,6</w:t>
            </w:r>
            <w:r>
              <w:rPr/>
              <w:t xml:space="preserve"> тыс. рублей.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1644" w:hRule="atLeast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4.2.</w:t>
            </w:r>
          </w:p>
        </w:tc>
        <w:tc>
          <w:tcPr>
            <w:tcW w:w="4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both"/>
              <w:rPr/>
            </w:pPr>
            <w:r>
              <w:rPr/>
              <w:t>Создание, накопление, хранение запасов материально-технических, продовольственных, медицинских и иных средств в целях ГО и для ликвидации ЧС</w:t>
            </w:r>
          </w:p>
        </w:tc>
        <w:tc>
          <w:tcPr>
            <w:tcW w:w="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jc w:val="center"/>
              <w:rPr/>
            </w:pPr>
            <w:r>
              <w:rPr/>
              <w:t>2020</w:t>
            </w:r>
          </w:p>
        </w:tc>
        <w:tc>
          <w:tcPr>
            <w:tcW w:w="6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jc w:val="center"/>
              <w:rPr/>
            </w:pPr>
            <w:r>
              <w:rPr/>
              <w:t>-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eastAsia="zh-CN" w:bidi="ar-SA"/>
              </w:rPr>
              <w:t>Средства секвестированы</w:t>
            </w:r>
            <w:r>
              <w:rPr/>
              <w:t xml:space="preserve"> решением Думы Великого Новгорода от 24.12.2020 № 509. </w:t>
            </w:r>
          </w:p>
        </w:tc>
      </w:tr>
      <w:tr>
        <w:trPr>
          <w:trHeight w:val="1644" w:hRule="atLeast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snapToGrid w:val="false"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4.3.</w:t>
            </w:r>
          </w:p>
        </w:tc>
        <w:tc>
          <w:tcPr>
            <w:tcW w:w="481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ремонту муниципальных защитных сооружений гражданской обороны для приведения их в готовность к приему укрываемых на территории Великого Новгорода</w:t>
            </w:r>
          </w:p>
        </w:tc>
        <w:tc>
          <w:tcPr>
            <w:tcW w:w="8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62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мероприятия перенесено на 2021 год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ind w:left="0" w:right="0" w:hanging="0"/>
              <w:jc w:val="both"/>
              <w:rPr/>
            </w:pPr>
            <w:r>
              <w:rPr/>
              <w:t>Финансирование перенесено на 2021 год</w:t>
            </w:r>
          </w:p>
        </w:tc>
      </w:tr>
    </w:tbl>
    <w:p>
      <w:pPr>
        <w:pStyle w:val="Normal"/>
        <w:keepLines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keepLines/>
        <w:widowControl w:val="false"/>
        <w:ind w:left="0" w:right="0" w:firstLine="708"/>
        <w:jc w:val="center"/>
        <w:rPr/>
      </w:pPr>
      <w:r>
        <w:rPr>
          <w:b/>
        </w:rPr>
        <w:t>4</w:t>
      </w:r>
      <w:r>
        <w:rPr>
          <w:b/>
          <w:sz w:val="28"/>
          <w:szCs w:val="28"/>
        </w:rPr>
        <w:t xml:space="preserve">. </w:t>
      </w:r>
      <w:r>
        <w:rPr>
          <w:b/>
        </w:rPr>
        <w:t>Сведения о достижении значений целевых показателей муниципальной программы</w:t>
      </w:r>
    </w:p>
    <w:p>
      <w:pPr>
        <w:pStyle w:val="Normal"/>
        <w:keepLines/>
        <w:widowControl w:val="false"/>
        <w:jc w:val="center"/>
        <w:rPr>
          <w:b/>
          <w:b/>
        </w:rPr>
      </w:pPr>
      <w:r>
        <w:rPr>
          <w:b/>
        </w:rPr>
        <w:t>«Защита населения и территорий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 на  территории Великого Новгорода»</w:t>
      </w:r>
    </w:p>
    <w:p>
      <w:pPr>
        <w:pStyle w:val="Normal"/>
        <w:keepLines/>
        <w:widowControl w:val="false"/>
        <w:jc w:val="center"/>
        <w:rPr>
          <w:b/>
          <w:b/>
        </w:rPr>
      </w:pPr>
      <w:r>
        <w:rPr>
          <w:b/>
        </w:rPr>
        <w:t>на 2017-2023 годы</w:t>
      </w:r>
    </w:p>
    <w:p>
      <w:pPr>
        <w:pStyle w:val="Normal"/>
        <w:keepLines/>
        <w:widowControl w:val="false"/>
        <w:jc w:val="center"/>
        <w:rPr>
          <w:b/>
          <w:b/>
          <w:sz w:val="28"/>
        </w:rPr>
      </w:pPr>
      <w:r>
        <w:rPr>
          <w:b/>
          <w:sz w:val="28"/>
        </w:rPr>
      </w:r>
    </w:p>
    <w:tbl>
      <w:tblPr>
        <w:tblW w:w="15147" w:type="dxa"/>
        <w:jc w:val="center"/>
        <w:tblInd w:w="0" w:type="dxa"/>
        <w:tblCellMar>
          <w:top w:w="0" w:type="dxa"/>
          <w:left w:w="75" w:type="dxa"/>
          <w:bottom w:w="0" w:type="dxa"/>
          <w:right w:w="75" w:type="dxa"/>
        </w:tblCellMar>
      </w:tblPr>
      <w:tblGrid>
        <w:gridCol w:w="898"/>
        <w:gridCol w:w="4842"/>
        <w:gridCol w:w="2125"/>
        <w:gridCol w:w="1635"/>
        <w:gridCol w:w="1878"/>
        <w:gridCol w:w="3"/>
        <w:gridCol w:w="3765"/>
      </w:tblGrid>
      <w:tr>
        <w:trPr>
          <w:trHeight w:val="433" w:hRule="atLeast"/>
        </w:trPr>
        <w:tc>
          <w:tcPr>
            <w:tcW w:w="8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целевого показателя, 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5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отклонений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значений целевого показателя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отчетного периода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 наличии)</w:t>
            </w:r>
          </w:p>
        </w:tc>
      </w:tr>
      <w:tr>
        <w:trPr>
          <w:trHeight w:val="360" w:hRule="atLeast"/>
        </w:trPr>
        <w:tc>
          <w:tcPr>
            <w:tcW w:w="89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napToGrid w:val="false"/>
              <w:rPr>
                <w:rFonts w:eastAsia="MS Mincho;ＭＳ 明朝"/>
                <w:sz w:val="24"/>
                <w:szCs w:val="24"/>
                <w:lang w:eastAsia="ja-JP"/>
              </w:rPr>
            </w:pPr>
            <w:r>
              <w:rPr>
                <w:rFonts w:eastAsia="MS Mincho;ＭＳ 明朝"/>
                <w:sz w:val="24"/>
                <w:szCs w:val="24"/>
                <w:lang w:eastAsia="ja-JP"/>
              </w:rPr>
            </w:r>
          </w:p>
        </w:tc>
        <w:tc>
          <w:tcPr>
            <w:tcW w:w="4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napToGrid w:val="false"/>
              <w:rPr>
                <w:rFonts w:eastAsia="MS Mincho;ＭＳ 明朝"/>
                <w:sz w:val="24"/>
                <w:szCs w:val="24"/>
                <w:lang w:eastAsia="ja-JP"/>
              </w:rPr>
            </w:pPr>
            <w:r>
              <w:rPr>
                <w:rFonts w:eastAsia="MS Mincho;ＭＳ 明朝"/>
                <w:sz w:val="24"/>
                <w:szCs w:val="24"/>
                <w:lang w:eastAsia="ja-JP"/>
              </w:rPr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год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keepLines/>
              <w:snapToGrid w:val="false"/>
              <w:rPr>
                <w:rFonts w:eastAsia="MS Mincho;ＭＳ 明朝"/>
                <w:sz w:val="24"/>
                <w:szCs w:val="24"/>
                <w:lang w:eastAsia="ja-JP"/>
              </w:rPr>
            </w:pPr>
            <w:r>
              <w:rPr>
                <w:rFonts w:eastAsia="MS Mincho;ＭＳ 明朝"/>
                <w:sz w:val="24"/>
                <w:szCs w:val="24"/>
                <w:lang w:eastAsia="ja-JP"/>
              </w:rPr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24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1. Повышение эффективности системы профилактики пожаров на территории Великого Новгорода</w:t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Количество пожаров на территории Великого (ед.)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465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460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317</w:t>
            </w:r>
          </w:p>
        </w:tc>
        <w:tc>
          <w:tcPr>
            <w:tcW w:w="3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Постоянное проведение противопожарной пропаганды среди населения</w:t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Количество погибших и травмированных при пожарах людей (чел)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12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14</w:t>
            </w:r>
          </w:p>
        </w:tc>
        <w:tc>
          <w:tcPr>
            <w:tcW w:w="3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соблюдение правил пожарной безопасности</w:t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источников наружного противопожарного водоснабжения на территории Великого Новгорода (ед.)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1195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1195</w:t>
            </w:r>
          </w:p>
        </w:tc>
        <w:tc>
          <w:tcPr>
            <w:tcW w:w="3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4.Повышение уровня обеспеченности первичными средствами пожарной безопасности жилых и общественных зданий, находящихся в муниципальной собственности  (%)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90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92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92</w:t>
            </w:r>
          </w:p>
        </w:tc>
        <w:tc>
          <w:tcPr>
            <w:tcW w:w="3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2.1.</w:t>
            </w:r>
          </w:p>
        </w:tc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both"/>
              <w:rPr/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Задача 2. </w:t>
            </w: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Повышение эффективности систем мониторинга и предупреждения чрезвычайных ситуаций природного и техногенного характера на территории Великого Новгорода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/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2.1.1.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Увеличение покрытия звуковым сигналом территории Великого Новгорода  (%)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40</w:t>
            </w:r>
          </w:p>
        </w:tc>
        <w:tc>
          <w:tcPr>
            <w:tcW w:w="37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 проводятся в рамках основных мероприятий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2.1.2.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 Увеличение возможностей подключения к сетям ЛСО и РАСЦО   (%)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40</w:t>
            </w:r>
          </w:p>
        </w:tc>
        <w:tc>
          <w:tcPr>
            <w:tcW w:w="37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2.1.3.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Повышение уровня готовности технического обеспечения АСЦО к стабильной работе  (%)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40</w:t>
            </w:r>
          </w:p>
        </w:tc>
        <w:tc>
          <w:tcPr>
            <w:tcW w:w="37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2.1.4.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/>
            </w:pPr>
            <w:r>
              <w:rPr>
                <w:sz w:val="24"/>
                <w:szCs w:val="24"/>
              </w:rPr>
              <w:t>Показатель 4. Сокращение времени комплексного реагирования экстренных оперативных служб на обращения населения по единому номеру системы «112» на территории Великого Новгорода  (</w:t>
            </w: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минут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0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25</w:t>
            </w:r>
          </w:p>
        </w:tc>
        <w:tc>
          <w:tcPr>
            <w:tcW w:w="3768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3.1.</w:t>
            </w:r>
          </w:p>
        </w:tc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 Обеспечение безопасности людей на водных объектах в границах Великом Новгороде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3.1.1.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Количество подготовленных мест массового отдыха населения на водных объектах с целью обеспечения их безопасности, охраны жизни и здоровья населения  (ед.)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массового отдыха на воде:  1.«Юрьевская набережная», </w:t>
            </w:r>
          </w:p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2.«Софийская набережная».</w:t>
            </w:r>
          </w:p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(постановление от 14.12.2011 № 5636)</w:t>
            </w:r>
          </w:p>
        </w:tc>
      </w:tr>
      <w:tr>
        <w:trPr>
          <w:trHeight w:val="1959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3.1.2.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2.  Количество оборудованных и оснащенных на 100 %  спасательных постов в местах массового отдыха населения на водных объектах  (ед.) Количество случаев гибели людей на водных объектах Великого Новгорода  в сравнении с их средним количеством за 2014-2015 годы  (ед.)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Места массового отдыха на воде:  1.«Юрьевская набережная», </w:t>
            </w:r>
          </w:p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2.«Софийская набережная».</w:t>
            </w:r>
          </w:p>
          <w:p>
            <w:pPr>
              <w:pStyle w:val="ConsPlusCell"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3.1.3.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 Количество случаев гибели людей  в местах, подготовленных для отдыха на водных объектах Великого Новгорода(ед.)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4.1.</w:t>
            </w:r>
          </w:p>
        </w:tc>
        <w:tc>
          <w:tcPr>
            <w:tcW w:w="14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4. Организация и осуществление мероприятий по гражданской обороне, защите населения и территорий Великого Новгорода от чрезвычайных ситуаций природного и техногенного характера,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4.1.1.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 Проведение учений и тренировок по вопросам гражданской обороны и  защиты от чрезвычайных ситуаций с органами местного самоуправления и организациями Великого Новгорода с проведением практических мероприятий (ед.)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1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Губернатора Новгородской области от 06.03.2020 № 97 (ред. От 15.06.2020) «О введении режима повышенной готовности». </w:t>
            </w:r>
          </w:p>
          <w:p>
            <w:pPr>
              <w:pStyle w:val="ConsPlusCel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неблагополучной ситуацией по распространению коронавирусной инфекции.</w:t>
            </w:r>
          </w:p>
          <w:p>
            <w:pPr>
              <w:pStyle w:val="ConsPlusCel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проведения культурно-массовых мероприятий</w:t>
            </w:r>
          </w:p>
        </w:tc>
      </w:tr>
      <w:tr>
        <w:trPr/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4.1.2.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 Количество обученных в в области гражданской обороны, защиты населения от чрезвычайных ситуаций:</w:t>
            </w:r>
          </w:p>
          <w:p>
            <w:pPr>
              <w:pStyle w:val="ConsPlusCell"/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руководителей занятий по гражданской обороне и защите от чрезвычайных ситуаций в организациях;</w:t>
            </w:r>
          </w:p>
          <w:p>
            <w:pPr>
              <w:pStyle w:val="ConsPlusCell"/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инструкторов-консультантов учебно-консультационных пунктов;</w:t>
            </w:r>
          </w:p>
          <w:p>
            <w:pPr>
              <w:pStyle w:val="ConsPlusCell"/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классных руководителей, учителей муниципальных образовательных учреждений;</w:t>
            </w:r>
          </w:p>
          <w:p>
            <w:pPr>
              <w:pStyle w:val="ConsPlusCell"/>
              <w:keepLines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руководителей нештатных аварийно-спасательных формирований (ед.)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701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660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587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Губернатора Новгородской области от 06.03.2020 № 97 (ред. От 15.06.2020) «О введении режима повышенной готовности». </w:t>
            </w:r>
          </w:p>
          <w:p>
            <w:pPr>
              <w:pStyle w:val="ConsPlusCel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неблагополучной ситуацией по распространению коронавирусной инфекции.</w:t>
            </w:r>
          </w:p>
          <w:p>
            <w:pPr>
              <w:pStyle w:val="ConsPlusCell"/>
              <w:keepLines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Ограничение проведения культурно-массовых мероприятий</w:t>
            </w:r>
          </w:p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401" w:hRule="atLeast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4.1.3.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3.Восполнение резерва материальных ресурсов для ликвидации последствий чрезвычайных ситуаций и в целях гражданской обороны  до утвержденной номенклатуры (%)</w:t>
            </w:r>
          </w:p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85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85</w:t>
            </w:r>
          </w:p>
        </w:tc>
        <w:tc>
          <w:tcPr>
            <w:tcW w:w="3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лимиты уменьшены на 2020 год решением Думы Великого Новгорода от 24.12.2020 № 509. </w:t>
            </w:r>
          </w:p>
        </w:tc>
      </w:tr>
      <w:tr>
        <w:trPr/>
        <w:tc>
          <w:tcPr>
            <w:tcW w:w="8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4.1.4.</w:t>
            </w:r>
          </w:p>
        </w:tc>
        <w:tc>
          <w:tcPr>
            <w:tcW w:w="48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 Доля отремонтированных защитных сооружений гражданской обороны, готовых к использованию по предназначению (%)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-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Cell"/>
              <w:keepLines/>
              <w:jc w:val="center"/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</w:pPr>
            <w:r>
              <w:rPr>
                <w:rFonts w:eastAsia="MS Mincho;ＭＳ 明朝" w:cs="Times New Roman"/>
                <w:color w:val="auto"/>
                <w:sz w:val="24"/>
                <w:szCs w:val="24"/>
                <w:lang w:val="ru-RU" w:eastAsia="ja-JP" w:bidi="ar-SA"/>
              </w:rPr>
              <w:t>0</w:t>
            </w:r>
          </w:p>
        </w:tc>
        <w:tc>
          <w:tcPr>
            <w:tcW w:w="376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snapToGrid w:val="false"/>
              <w:ind w:left="0" w:righ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лимиты уменьшены на 2020 год решением Думы Великого Новгорода от 24.12.2020 № 509. </w:t>
            </w:r>
          </w:p>
        </w:tc>
      </w:tr>
    </w:tbl>
    <w:p>
      <w:pPr>
        <w:pStyle w:val="Normal"/>
        <w:keepLines/>
        <w:widowControl w:val="false"/>
        <w:numPr>
          <w:ilvl w:val="0"/>
          <w:numId w:val="0"/>
        </w:numPr>
        <w:ind w:left="0" w:right="0" w:hanging="0"/>
        <w:rPr/>
      </w:pPr>
      <w:r>
        <w:rPr/>
      </w:r>
    </w:p>
    <w:sectPr>
      <w:headerReference w:type="default" r:id="rId2"/>
      <w:headerReference w:type="first" r:id="rId3"/>
      <w:type w:val="nextPage"/>
      <w:pgSz w:orient="landscape" w:w="16838" w:h="11906"/>
      <w:pgMar w:left="567" w:right="567" w:header="0" w:top="907" w:footer="0" w:bottom="794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16700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rPr/>
                          </w:pPr>
                          <w:r>
                            <w:rPr>
                              <w:rStyle w:val="Style15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tyle15"/>
                            </w:rPr>
                            <w:instrText> PAGE </w:instrText>
                          </w:r>
                          <w:r>
                            <w:rPr>
                              <w:rStyle w:val="Style15"/>
                            </w:rPr>
                            <w:fldChar w:fldCharType="separate"/>
                          </w:r>
                          <w:r>
                            <w:rPr>
                              <w:rStyle w:val="Style15"/>
                            </w:rPr>
                            <w:t>0</w:t>
                          </w:r>
                          <w:r>
                            <w:rPr>
                              <w:rStyle w:val="Style15"/>
                            </w:rPr>
                            <w:fldChar w:fldCharType="end"/>
                          </w:r>
                        </w:p>
                      </w:txbxContent>
                    </wps:txbx>
                    <wps:bodyPr lIns="9360" rIns="9360" tIns="9360" bIns="936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389.9pt;margin-top:0.05pt;width:5.3pt;height:13.0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rPr/>
                    </w:pPr>
                    <w:r>
                      <w:rPr>
                        <w:rStyle w:val="Style15"/>
                        <w:color w:val="000000"/>
                      </w:rPr>
                      <w:fldChar w:fldCharType="begin"/>
                    </w:r>
                    <w:r>
                      <w:rPr>
                        <w:rStyle w:val="Style15"/>
                      </w:rPr>
                      <w:instrText> PAGE </w:instrText>
                    </w:r>
                    <w:r>
                      <w:rPr>
                        <w:rStyle w:val="Style15"/>
                      </w:rPr>
                      <w:fldChar w:fldCharType="separate"/>
                    </w:r>
                    <w:r>
                      <w:rPr>
                        <w:rStyle w:val="Style15"/>
                      </w:rPr>
                      <w:t>0</w:t>
                    </w:r>
                    <w:r>
                      <w:rPr>
                        <w:rStyle w:val="Style15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jc w:val="center"/>
      <w:rPr>
        <w:b/>
        <w:b/>
        <w:sz w:val="16"/>
        <w:szCs w:val="16"/>
      </w:rPr>
    </w:pPr>
    <w:r>
      <w:rPr>
        <w:b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Маркеры"/>
    <w:qFormat/>
    <w:rPr>
      <w:rFonts w:ascii="OpenSymbol;Arial Unicode MS" w:hAnsi="OpenSymbol;Arial Unicode MS" w:eastAsia="OpenSymbol;Arial Unicode MS" w:cs="OpenSymbol;Arial Unicode M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PlusCell">
    <w:name w:val="ConsPlusCell"/>
    <w:qFormat/>
    <w:pPr>
      <w:widowControl w:val="false"/>
      <w:suppressAutoHyphens w:val="true"/>
      <w:bidi w:val="0"/>
      <w:jc w:val="left"/>
    </w:pPr>
    <w:rPr>
      <w:rFonts w:ascii="Times New Roman" w:hAnsi="Times New Roman" w:eastAsia="MS Mincho;ＭＳ 明朝" w:cs="Times New Roman"/>
      <w:color w:val="auto"/>
      <w:kern w:val="0"/>
      <w:sz w:val="28"/>
      <w:szCs w:val="28"/>
      <w:lang w:val="ru-RU" w:eastAsia="ja-JP" w:bidi="ar-SA"/>
    </w:rPr>
  </w:style>
  <w:style w:type="paragraph" w:styleId="Style22">
    <w:name w:val=" 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2">
    <w:name w:val="Основной текст с отступом 2"/>
    <w:basedOn w:val="Normal"/>
    <w:qFormat/>
    <w:pPr>
      <w:ind w:left="0" w:right="0" w:firstLine="851"/>
      <w:jc w:val="both"/>
    </w:pPr>
    <w:rPr>
      <w:sz w:val="28"/>
      <w:szCs w:val="20"/>
    </w:rPr>
  </w:style>
  <w:style w:type="paragraph" w:styleId="Style23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4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Знак Знак Знак Знак"/>
    <w:basedOn w:val="Normal"/>
    <w:qFormat/>
    <w:pPr>
      <w:widowControl w:val="false"/>
      <w:spacing w:lineRule="exact" w:line="240" w:before="0" w:after="160"/>
      <w:jc w:val="right"/>
    </w:pPr>
    <w:rPr>
      <w:sz w:val="20"/>
      <w:szCs w:val="20"/>
      <w:lang w:val="en-GB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Style28">
    <w:name w:val="Содержимое врезки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202</TotalTime>
  <Application>LibreOffice/6.3.0.4$Windows_X86_64 LibreOffice_project/057fc023c990d676a43019934386b85b21a9ee99</Application>
  <Pages>8</Pages>
  <Words>1756</Words>
  <Characters>11344</Characters>
  <CharactersWithSpaces>13051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2020-02-05T08:18:00Z</dcterms:created>
  <dc:creator>zigorov</dc:creator>
  <dc:description/>
  <dc:language>ru-RU</dc:language>
  <cp:lastModifiedBy/>
  <cp:lastPrinted>2021-02-02T08:04:00Z</cp:lastPrinted>
  <dcterms:modified xsi:type="dcterms:W3CDTF">2021-06-16T09:50:36Z</dcterms:modified>
  <cp:revision>43</cp:revision>
  <dc:subject/>
  <dc:title>Отчет о ходе реализации муниципальной программы Великого Новгорода</dc:title>
</cp:coreProperties>
</file>