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C" w:rsidRDefault="00156F8C">
      <w:pPr>
        <w:pStyle w:val="ConsPlusNormal"/>
        <w:ind w:firstLine="540"/>
        <w:jc w:val="both"/>
      </w:pPr>
      <w:bookmarkStart w:id="0" w:name="_GoBack"/>
      <w:bookmarkEnd w:id="0"/>
    </w:p>
    <w:p w:rsidR="00156F8C" w:rsidRDefault="00156F8C">
      <w:pPr>
        <w:pStyle w:val="ConsPlusNormal"/>
        <w:jc w:val="right"/>
        <w:outlineLvl w:val="0"/>
      </w:pPr>
      <w:r>
        <w:t>Утверждено</w:t>
      </w:r>
    </w:p>
    <w:p w:rsidR="00156F8C" w:rsidRDefault="00156F8C">
      <w:pPr>
        <w:pStyle w:val="ConsPlusNormal"/>
        <w:jc w:val="right"/>
      </w:pPr>
      <w:r>
        <w:t>решением</w:t>
      </w:r>
    </w:p>
    <w:p w:rsidR="00156F8C" w:rsidRDefault="00156F8C">
      <w:pPr>
        <w:pStyle w:val="ConsPlusNormal"/>
        <w:jc w:val="right"/>
      </w:pPr>
      <w:r>
        <w:t>Думы Великого Новгорода</w:t>
      </w:r>
    </w:p>
    <w:p w:rsidR="00156F8C" w:rsidRDefault="00156F8C">
      <w:pPr>
        <w:pStyle w:val="ConsPlusNormal"/>
        <w:jc w:val="right"/>
      </w:pPr>
      <w:r>
        <w:t>от 29.12.2016 N 1064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</w:pPr>
      <w:bookmarkStart w:id="1" w:name="P55"/>
      <w:bookmarkEnd w:id="1"/>
      <w:r>
        <w:t>ПОЛОЖЕНИЕ</w:t>
      </w:r>
    </w:p>
    <w:p w:rsidR="00156F8C" w:rsidRDefault="00156F8C">
      <w:pPr>
        <w:pStyle w:val="ConsPlusTitle"/>
        <w:jc w:val="center"/>
      </w:pPr>
      <w:r>
        <w:t>О ПОРЯДКЕ ОСУЩЕСТВЛЕНИЯ ОРГАНАМИ МЕСТНОГО</w:t>
      </w:r>
    </w:p>
    <w:p w:rsidR="00156F8C" w:rsidRDefault="00156F8C">
      <w:pPr>
        <w:pStyle w:val="ConsPlusTitle"/>
        <w:jc w:val="center"/>
      </w:pPr>
      <w:r>
        <w:t>САМОУПРАВЛЕНИЯ ВЕЛИКОГО НОВГОРОДА ПОЛНОМОЧИЙ</w:t>
      </w:r>
    </w:p>
    <w:p w:rsidR="00156F8C" w:rsidRDefault="00156F8C">
      <w:pPr>
        <w:pStyle w:val="ConsPlusTitle"/>
        <w:jc w:val="center"/>
      </w:pPr>
      <w:r>
        <w:t>ПО РЕАЛИЗАЦИИ ФЕДЕРАЛЬНОГО ЗАКОНА "О РЕКЛАМЕ"</w:t>
      </w:r>
    </w:p>
    <w:p w:rsidR="00156F8C" w:rsidRDefault="00156F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6F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F8C" w:rsidRDefault="00156F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F8C" w:rsidRDefault="00156F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F8C" w:rsidRDefault="00156F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Великого Новгорода</w:t>
            </w:r>
            <w:proofErr w:type="gramEnd"/>
          </w:p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5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29.08.2019 </w:t>
            </w:r>
            <w:hyperlink r:id="rId6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30.04.2020 </w:t>
            </w:r>
            <w:hyperlink r:id="rId7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8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27.05.2021 </w:t>
            </w:r>
            <w:hyperlink r:id="rId9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25.02.2022 </w:t>
            </w:r>
            <w:hyperlink r:id="rId10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Новгородского областного суда</w:t>
            </w:r>
          </w:p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>от 22.01.2021 N 03а-14/21)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F8C" w:rsidRDefault="00156F8C">
            <w:pPr>
              <w:pStyle w:val="ConsPlusNormal"/>
            </w:pPr>
          </w:p>
        </w:tc>
      </w:tr>
    </w:tbl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1. Общие положения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6 октября 2003 г. </w:t>
      </w:r>
      <w:hyperlink r:id="rId1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 марта 2006 г. </w:t>
      </w:r>
      <w:hyperlink r:id="rId13">
        <w:r>
          <w:rPr>
            <w:color w:val="0000FF"/>
          </w:rPr>
          <w:t>N 38-ФЗ</w:t>
        </w:r>
      </w:hyperlink>
      <w:r>
        <w:t xml:space="preserve"> "О рекламе" (далее - Федеральный закон "О рекламе"), от 25 июня 2002 г. </w:t>
      </w:r>
      <w:hyperlink r:id="rId14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Федерации", иными нормативными и нормативно-техническими</w:t>
      </w:r>
      <w:proofErr w:type="gramEnd"/>
      <w:r>
        <w:t xml:space="preserve"> актами Российской Федерации, Новгородской области и Великого Новгорода, регулирующими правоотношения в сфере рекламы.</w:t>
      </w:r>
    </w:p>
    <w:p w:rsidR="00156F8C" w:rsidRDefault="00156F8C">
      <w:pPr>
        <w:pStyle w:val="ConsPlusNormal"/>
        <w:jc w:val="both"/>
      </w:pPr>
      <w:r>
        <w:t xml:space="preserve">(п. 1.1 в ред. </w:t>
      </w:r>
      <w:hyperlink r:id="rId15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1.2. Соблюдение настоящего Положения является обязательным для всех физических и юридических лиц, индивидуальных предпринимателей, занимающихся деятельностью по размещению и распространению наружной рекламы на территории Великого Новгорода.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1.3. Действие настоящего Положения распространяется на всю территорию Великого Новгорода независимо от ведомственной принадлежности или формы собственности на здания, строения, сооружения, иные объекты или земельные участки, к которым присоединяются рекламные конструкции.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1.4. Действие настоящего Положения не распространяется на вывески и указатели, не содержащие сведений рекламного характера, или информацию, раскрытие или распространение либо доведение которой до потребителя является обязательным в соответствии с федеральными законами.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Действие настоящего Положения в части получения разрешений не распространяется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Лица, владеющие рекламными конструкциями, которые размещены на территории Великого Новгорода, должны иметь все предусмотренные законом документы, надлежащим образом оформленные и подтверждающие правомерность размещения этих рекламных конструкций.</w:t>
      </w:r>
    </w:p>
    <w:p w:rsidR="00156F8C" w:rsidRDefault="00156F8C">
      <w:pPr>
        <w:pStyle w:val="ConsPlusNormal"/>
        <w:jc w:val="both"/>
      </w:pPr>
      <w:r>
        <w:t xml:space="preserve">(п. 1.4 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lastRenderedPageBreak/>
        <w:t>1.5. На территории Великого Новгорода устанавливаются следующие зоны размещения рекламных конструкций:</w:t>
      </w:r>
    </w:p>
    <w:p w:rsidR="00156F8C" w:rsidRDefault="00156F8C">
      <w:pPr>
        <w:pStyle w:val="ConsPlusNormal"/>
        <w:spacing w:before="220"/>
        <w:ind w:firstLine="540"/>
        <w:jc w:val="both"/>
      </w:pPr>
      <w:proofErr w:type="gramStart"/>
      <w:r>
        <w:t xml:space="preserve">городская зона 1 - территория Великого Новгорода, включающая в себя следующие территориальные зоны градостроительного зонирования, определенные </w:t>
      </w:r>
      <w:hyperlink r:id="rId17">
        <w:r>
          <w:rPr>
            <w:color w:val="0000FF"/>
          </w:rPr>
          <w:t>Правилами</w:t>
        </w:r>
      </w:hyperlink>
      <w:r>
        <w:t xml:space="preserve"> землепользования и застройки Великого Новгорода, утвержденными решением Думы Великого Новгорода от 25.12.2019 N 347: специальная историческая зона СИ., зоны рекреационного назначения Р.1, Р.4, а также Воскресенский бульвар;</w:t>
      </w:r>
      <w:proofErr w:type="gramEnd"/>
    </w:p>
    <w:p w:rsidR="00156F8C" w:rsidRDefault="00156F8C">
      <w:pPr>
        <w:pStyle w:val="ConsPlusNormal"/>
        <w:spacing w:before="220"/>
        <w:ind w:firstLine="540"/>
        <w:jc w:val="both"/>
      </w:pPr>
      <w:r>
        <w:t>городская зона 2 - территория Великого Новгорода, включающая в себя все иные территориальные зоны, не вошедшие в городскую зону 1.</w:t>
      </w:r>
    </w:p>
    <w:p w:rsidR="00156F8C" w:rsidRDefault="00156F8C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Решением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2. Основные понятия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В настоящем Положении используются следующие основные понятия: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>
        <w:r>
          <w:rPr>
            <w:color w:val="0000FF"/>
          </w:rPr>
          <w:t>Решение</w:t>
        </w:r>
      </w:hyperlink>
      <w:r>
        <w:t xml:space="preserve"> Думы Великого Новгорода от 31.08.2020 N 458;</w:t>
      </w:r>
    </w:p>
    <w:p w:rsidR="00156F8C" w:rsidRDefault="00156F8C">
      <w:pPr>
        <w:pStyle w:val="ConsPlusNormal"/>
        <w:spacing w:before="220"/>
        <w:ind w:firstLine="540"/>
        <w:jc w:val="both"/>
      </w:pPr>
      <w:proofErr w:type="gramStart"/>
      <w:r>
        <w:t>разрешение на установку и эксплуатацию рекламной конструкции - документ, на основании которого допускается установка и эксплуатация рекламной конструкции, содержащий информацию о владельце рекламной конструкции, собственнике земельного участка, здания или иного недвижимого имущества, к которому предполагается присоединить рекламную конструкцию, типе рекламной конструкции, площади ее информационного поля, месте установки рекламной конструкции, сроке действия разрешения, органе, выдавшем разрешение, номере, дате его выдачи, иные сведения</w:t>
      </w:r>
      <w:proofErr w:type="gramEnd"/>
      <w:r>
        <w:t xml:space="preserve">, </w:t>
      </w:r>
      <w:proofErr w:type="gramStart"/>
      <w:r>
        <w:t>выдаваемый</w:t>
      </w:r>
      <w:proofErr w:type="gramEnd"/>
      <w:r>
        <w:t xml:space="preserve"> Администрацией Великого Новгорода на основании заключения о соответствии рекламной конструкции внешнему архитектурному облику сложившейся застройки Великого Новгорода. Форма разрешения на установку и эксплуатацию рекламной конструкции утверждается Администрацией Великого Новгорода;</w:t>
      </w:r>
    </w:p>
    <w:p w:rsidR="00156F8C" w:rsidRDefault="00156F8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Великого Новгорода от 25.02.2022 N 669)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заключение о соответствии рекламной конструкции внешнему архитектурному облику сложившейся застройки Великого Новгорода - документ, подготавливаемый уполномоченным структурным подразделением Администрации Великого Новгорода при принятии решения о выдаче или об отказе в выдаче разрешения на установку и эксплуатацию рекламной конструкции. Форма заключения о соответствии рекламной конструкции внешнему архитектурному облику сложившейся застройки Великого Новгорода утверждается Администрацией Великого Новгорода;</w:t>
      </w:r>
    </w:p>
    <w:p w:rsidR="00156F8C" w:rsidRDefault="00156F8C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Решением</w:t>
        </w:r>
      </w:hyperlink>
      <w:r>
        <w:t xml:space="preserve"> Думы Великого Новгорода от 25.02.2022 N 669)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Решение</w:t>
        </w:r>
      </w:hyperlink>
      <w:r>
        <w:t xml:space="preserve"> Думы Великого Новгорода от 31.08.2020 N 458;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внешний архитектурный облик сложившейся застройки - визуальное впечатление о городе и его художественных ценностях, складывающееся по реальному внешне воспринимаемому и последовательно формируемому представлению о выразительных качествах города (архитектурное художественное построение, наполнение и содержание);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>
        <w:r>
          <w:rPr>
            <w:color w:val="0000FF"/>
          </w:rPr>
          <w:t>Решение</w:t>
        </w:r>
      </w:hyperlink>
      <w:r>
        <w:t xml:space="preserve"> Думы Великого Новгорода от 31.08.2020 N 458;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рекламное тарифное зонирование - деление всей территории Великого Новгорода в зависимости от маркетинговой привлекательности места размещения рекламной конструкции;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>
        <w:r>
          <w:rPr>
            <w:color w:val="0000FF"/>
          </w:rPr>
          <w:t>Решение</w:t>
        </w:r>
      </w:hyperlink>
      <w:r>
        <w:t xml:space="preserve"> Думы Великого Новгорода от 31.08.2020 N 458;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архитектурно-градостроительный облик здания, строения, сооружения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рекламных конструкций и вывесок.</w:t>
      </w:r>
    </w:p>
    <w:p w:rsidR="00156F8C" w:rsidRDefault="00156F8C">
      <w:pPr>
        <w:pStyle w:val="ConsPlusNormal"/>
        <w:jc w:val="both"/>
      </w:pPr>
      <w:r>
        <w:lastRenderedPageBreak/>
        <w:t xml:space="preserve">(абзац введен </w:t>
      </w:r>
      <w:hyperlink r:id="rId25">
        <w:r>
          <w:rPr>
            <w:color w:val="0000FF"/>
          </w:rPr>
          <w:t>Решением</w:t>
        </w:r>
      </w:hyperlink>
      <w:r>
        <w:t xml:space="preserve"> Думы Великого Новгорода от 29.08.2019 N 264)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Иные понятия, используемые в настоящем Положении, применяются в значениях, определенных действующим федеральным и областным законодательством.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3. Полномочия органов местного самоуправления</w:t>
      </w:r>
    </w:p>
    <w:p w:rsidR="00156F8C" w:rsidRDefault="00156F8C">
      <w:pPr>
        <w:pStyle w:val="ConsPlusTitle"/>
        <w:jc w:val="center"/>
      </w:pPr>
      <w:r>
        <w:t>Великого Новгорода в сфере рекламы</w:t>
      </w:r>
    </w:p>
    <w:p w:rsidR="00156F8C" w:rsidRDefault="00156F8C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3.1. Дума Великого Новгорода: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3.1.1. Устанавливает типы и виды рекламных конструкций, допустимых к установке на территории Великого Новгорода;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3.1.2. Устанавливает общие требования к рекламным конструкциям, размещаемым на территории Великого Новгорода (дизайн-код);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3.1.3. Устанавливает порядок расчета размера платы за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3.1.4. Устанавливает форму проведения торгов на право заключения договоров на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3.1.5. Устанавливает срок, на который заключаются договоры на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 Администрация Великого Новгорода: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3.2.1. Осуществляет согласования с уполномоченными органами, необходимые для принятия решения о выдаче разрешения на установку и эксплуатацию рекламной конструкции или об отказе в его выдаче;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3.2.2. В установленном порядке разрабатывает и утверждает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расположенных на территории Великого Новгорода;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Определяет процедуру подачи и рассмотрения заявлений о выдаче разрешений на установку и эксплуатацию рекламных конструкций на территории Великого Новгорода, принимает решения о выдаче или об отказе в выдаче разрешений на установку и эксплуатацию рекламных конструкций, осуществляет выдачу разрешений на установку и эксплуатацию рекламных конструкций, их аннулирование, обращается в суд с исками о признании разрешений недействительными;</w:t>
      </w:r>
      <w:proofErr w:type="gramEnd"/>
    </w:p>
    <w:p w:rsidR="00156F8C" w:rsidRDefault="00156F8C">
      <w:pPr>
        <w:pStyle w:val="ConsPlusNormal"/>
        <w:spacing w:before="220"/>
        <w:ind w:firstLine="540"/>
        <w:jc w:val="both"/>
      </w:pPr>
      <w:r>
        <w:t>3.2.4. Ведет реестр рекламных конструкций;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3.2.5. Выдает предписания о демонтаже рекламных конструкций в случаях,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рекламе", осуществляет контроль исполнения предписаний;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3.2.6. Организует в порядке, установленном законодательством, демонтаж рекламных </w:t>
      </w:r>
      <w:r>
        <w:lastRenderedPageBreak/>
        <w:t>конструкций, установленных и (или) эксплуатируемых без разрешения, срок которого не истек;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3.2.7. Организует, проводит торги на право заключения договоров на установку и эксплуатацию рекламных конструкций и заключает (вносит изменения, расторгает) договоры на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3.2.8. Обеспечивает начисление и получение платежей за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3.2.9. Осуществляет </w:t>
      </w:r>
      <w:proofErr w:type="gramStart"/>
      <w:r>
        <w:t>контроль за</w:t>
      </w:r>
      <w:proofErr w:type="gramEnd"/>
      <w:r>
        <w:t xml:space="preserve"> исполнением условий договоров на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разграничена, в случае неисполнения </w:t>
      </w:r>
      <w:proofErr w:type="spellStart"/>
      <w:r>
        <w:t>рекламораспространителями</w:t>
      </w:r>
      <w:proofErr w:type="spellEnd"/>
      <w:r>
        <w:t xml:space="preserve"> условий договоров принимает необходимые меры, в том числе по расторжению договоров;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3.2.10. Дает согласие на заключение договоров на установку и эксплуатацию рекламных конструкций на недвижимом муниципальном имуществе, закрепленном за другими лицами на праве оперативного управления, хозяйственного ведения или ином вещном праве;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3.2.11. Разрабатывает и принимает в пределах своей компетенции муниципальные правовые акты в сфере размещения рекламных конструкций на территории Великого Новгорода;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3.2.12. Обеспечивает доступность для граждан и юридических лиц информации об установке и эксплуатации рекламных конструкций на территории Великого Новгорода путем ее размещения на официальном сайте Администрации Великого Новгорода в сети Интернет по адресу: www.adm.nov.ru.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4. Типы и виды рекламных конструкций, допустимых к установке</w:t>
      </w:r>
    </w:p>
    <w:p w:rsidR="00156F8C" w:rsidRDefault="00156F8C">
      <w:pPr>
        <w:pStyle w:val="ConsPlusTitle"/>
        <w:jc w:val="center"/>
      </w:pPr>
      <w:r>
        <w:t>на территории Великого Новгорода</w:t>
      </w:r>
    </w:p>
    <w:p w:rsidR="00156F8C" w:rsidRDefault="00156F8C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4.1. На территории Великого Новгорода допускается установка и эксплуатация следующих типов рекламных конструкций: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отдельно стоящие рекламные конструкции, размещаемые на земельных участках;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рекламные конструкции, размещаемые на зданиях, строениях, сооружениях.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В зависимости от площади информационного поля рекламные конструкции подразделяются на рекламные конструкции: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малого формата (с площадью информационного поля до 4,0 кв. м включительно);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среднего формата (с площадью информационного поля от 4,0 кв. м до 18,0 кв. м включительно);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большого формата (с площадью информационного поля более 18,0 кв. м).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4.2. В городской зоне 1 на территории Великого Новгорода допускается установка следующих видов отдельно стоящих рекламных конструкций: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4.2.1. Афишный стенд - рекламная конструкция малого формата с одним, двумя или тремя </w:t>
      </w:r>
      <w:r>
        <w:lastRenderedPageBreak/>
        <w:t>информационными полями длиной 1,2 м или 1,8 м, высотой 1,8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4.2.2. Сити-формат - рекламная конструкция малого формата с информационным полем длиной 1,2 м, высотой 1,8 м, оборудованная роллерным механизмом для смены изображений. Может быть односторонним или двухсторонним;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4.2.3. Стела - объемная рекламная конструкция малого формата с информационным полем высотой до 2,5 м;</w:t>
      </w:r>
    </w:p>
    <w:p w:rsidR="00156F8C" w:rsidRDefault="00156F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4.2.3 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Великого Новгорода от 27.05.2021 N 568)</w:t>
      </w:r>
    </w:p>
    <w:p w:rsidR="00156F8C" w:rsidRDefault="00156F8C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4.2.4</w:t>
        </w:r>
      </w:hyperlink>
      <w:r>
        <w:t xml:space="preserve">. Остановочный навес с сити-форматом - остановочный навес, совмещенный с </w:t>
      </w:r>
      <w:proofErr w:type="gramStart"/>
      <w:r>
        <w:t>двухсторонним</w:t>
      </w:r>
      <w:proofErr w:type="gramEnd"/>
      <w:r>
        <w:t xml:space="preserve"> сити-форматом. Сити-формат должен размещаться перпендикулярно направлению движения транспорта.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 В городской зоне 2 на территории Великого Новгорода допускается установка следующих видов отдельно стоящих рекламных конструкций: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4.3.1. </w:t>
      </w:r>
      <w:proofErr w:type="spellStart"/>
      <w:r>
        <w:t>Билборд</w:t>
      </w:r>
      <w:proofErr w:type="spellEnd"/>
      <w:r>
        <w:t xml:space="preserve"> - рекламная конструкция среднего формата, имеющая статическое информационное поле длиной 6,0 м, высотой 3,0 м. Может быть односторонним, двухсторонним (плоским или V-образным), трехсторонним (иметь три информационных поля, объединенных в единую конструкцию на одной опоре), четырехсторонним (двойным, имеющим четыре информационных поля, объединенных в единую конструкцию на одной опоре);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4.3.2. </w:t>
      </w:r>
      <w:proofErr w:type="spellStart"/>
      <w:r>
        <w:t>Ситиборд</w:t>
      </w:r>
      <w:proofErr w:type="spellEnd"/>
      <w:r>
        <w:t xml:space="preserve"> - рекламная конструкция среднего формата, имеющая статическое информационное поле длиной 3,7 м, высотой 2,7 м. Может быть односторонним, двухсторонним (плоским или V-образным);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4.3.3. </w:t>
      </w:r>
      <w:proofErr w:type="spellStart"/>
      <w:proofErr w:type="gramStart"/>
      <w:r>
        <w:t>Призмадинамическая</w:t>
      </w:r>
      <w:proofErr w:type="spellEnd"/>
      <w:r>
        <w:t xml:space="preserve"> конструкция (</w:t>
      </w:r>
      <w:proofErr w:type="spellStart"/>
      <w:r>
        <w:t>призмавижн</w:t>
      </w:r>
      <w:proofErr w:type="spellEnd"/>
      <w:r>
        <w:t xml:space="preserve">) - рекламная конструкция среднего формата с информационным полем длиной 6,0 м, высотой 3,0 м, имеющая динамический </w:t>
      </w:r>
      <w:proofErr w:type="spellStart"/>
      <w:r>
        <w:t>рекламоноситель</w:t>
      </w:r>
      <w:proofErr w:type="spellEnd"/>
      <w:r>
        <w:t>, позволяющий демонстрировать с заданным интервалом времени несколько различных изображений.</w:t>
      </w:r>
      <w:proofErr w:type="gramEnd"/>
      <w:r>
        <w:t xml:space="preserve"> Может быть односторонним, двухсторонним (плоским или V-образным);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4.3.4. </w:t>
      </w:r>
      <w:proofErr w:type="spellStart"/>
      <w:r>
        <w:t>Суперсайт</w:t>
      </w:r>
      <w:proofErr w:type="spellEnd"/>
      <w:r>
        <w:t xml:space="preserve"> - рекламная конструкция большого формата, имеющая статическое информационное поле длиной 12,0 м или 9,0 м, высотой 5,0 м. Может быть односторонним, двухсторонним (плоским);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4.3.5. Афишный стенд - рекламная конструкция малого формата с одним, двумя или тремя информационными полями длиной 1,2 м или 1,8 м, высотой 1,8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4.3.6. Сити-формат - рекламная конструкция малого формата с информационным полем длиной 1,2 м, высотой 1,8 м, оборудованная роллерным механизмом для смены изображений. Может быть односторонним или двухсторонним;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4.3.7. Электронное табло (экран) - рекламная конструкция малого, среднего, большого формата с одним информационным полем, которое конструктивно предназначено для воспроизведения видеоизображений на плоскости экрана за счет светоизлучения светодиодов, ламп, иных источников света или светоотражающих элементов, без звука;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4.3.8. Стела - объемная рекламная конструкция малого формата с информационным полем высотой до 2,5 м или среднего, большого формата с информационным полем высотой до 20,0 м;</w:t>
      </w:r>
    </w:p>
    <w:p w:rsidR="00156F8C" w:rsidRDefault="00156F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4.3.8 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Великого Новгорода от 25.02.2022 N 669)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4.3.9. Стела АЗС - объемная рекламная конструкция малого формата, размещаемая на территории автозаправочной станции или за ее пределами, содержащая одновременно информацию обязательного и рекламного характера, с площадью информационного поля 4,0 кв.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lastRenderedPageBreak/>
        <w:t>4.3.10. Флагшток на отдельно стоящей опоре - рекламная конструкция малого, среднего формата, состоящая из флагштока (стойки) и мягкого полотнища;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4.3.11. </w:t>
      </w:r>
      <w:proofErr w:type="spellStart"/>
      <w:r>
        <w:t>Пиллар</w:t>
      </w:r>
      <w:proofErr w:type="spellEnd"/>
      <w:r>
        <w:t xml:space="preserve"> (тумба) - рекламная тумба с внутренней подсветкой среднего формата, имеющая информационное поле длиной 1,4 м, высотой 3,0 м. Может быть двухсторонняя (круглая) и трехсторонняя (вогнутая);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4.3.12. Объемно-пространственный объект - рекламная конструкция малого, среднего формата с информационным полем, составляющим весь объем и поверхность объекта, выполняемая по </w:t>
      </w:r>
      <w:proofErr w:type="gramStart"/>
      <w:r>
        <w:t>индивидуальным проектам</w:t>
      </w:r>
      <w:proofErr w:type="gramEnd"/>
      <w:r>
        <w:t>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4.3.13. Остановочный навес с сити-форматом - остановочный навес, совмещенный с </w:t>
      </w:r>
      <w:proofErr w:type="gramStart"/>
      <w:r>
        <w:t>двухсторонним</w:t>
      </w:r>
      <w:proofErr w:type="gramEnd"/>
      <w:r>
        <w:t xml:space="preserve"> сити-форматом. Сити-формат должен размещаться перпендикулярно направлению движения транспорта;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4.3.14. Проекционные установки - рекламные конструкции малого, среднего, большого формата, предназначенные для воспроизведения изображения на земле, на плоскостях стен и в объеме, состоящие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</w:r>
    </w:p>
    <w:p w:rsidR="00156F8C" w:rsidRDefault="00156F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4.3.14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Решением</w:t>
        </w:r>
      </w:hyperlink>
      <w:r>
        <w:t xml:space="preserve"> Думы Великого Новгорода от 27.05.2021 N 568)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4.4. В городской зоне 2 на территории Великого Новгорода допускается установка следующих видов рекламных конструкций, размещаемых на зданиях, строениях, сооружениях: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4.4.1. Настенное панно - рекламная конструкция малого, среднего формата с одним информационным полем;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4.4.2. Электронное табло (экран) - рекламная конструкция малого, среднего, большого формата с одним информационным полем, которое конструктивно предназначено для воспроизведения видеоизображений на плоскости экрана за счет светоизлучения светодиодов, ламп, иных источников света или светоотражающих элементов, без звука;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4.4.3. </w:t>
      </w:r>
      <w:proofErr w:type="gramStart"/>
      <w:r>
        <w:t>Брандмауэрное панно - рекламная конструкция большого формата с площадью информационного поля от 30,0 кв. м, размещаемая на боковых и не имеющих оконных проемов, витражей, витрин, и (или) декоративного оформления фасадах, на глухих стенах зданий, строений, сооружений;</w:t>
      </w:r>
      <w:proofErr w:type="gramEnd"/>
    </w:p>
    <w:p w:rsidR="00156F8C" w:rsidRDefault="00156F8C">
      <w:pPr>
        <w:pStyle w:val="ConsPlusNormal"/>
        <w:spacing w:before="220"/>
        <w:ind w:firstLine="540"/>
        <w:jc w:val="both"/>
      </w:pPr>
      <w:r>
        <w:t>4.4.4. Проекционные установки - рекламные конструкции малого, среднего, большого формата, предназначенные для воспроизведения изображения на земле, на плоскостях стен и в объеме, состоящие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</w:r>
    </w:p>
    <w:p w:rsidR="00156F8C" w:rsidRDefault="00156F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4.4.4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Решением</w:t>
        </w:r>
      </w:hyperlink>
      <w:r>
        <w:t xml:space="preserve"> Думы Великого Новгорода от 27.05.2021 N 568)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4.5. Размещение рекламных конструкций, не соответствующих типам и видам рекламных конструкций, перечисленным в настоящем разделе, является нарушением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и не допускается.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5. Общие требования к рекламным конструкциям, размещаемым</w:t>
      </w:r>
    </w:p>
    <w:p w:rsidR="00156F8C" w:rsidRDefault="00156F8C">
      <w:pPr>
        <w:pStyle w:val="ConsPlusTitle"/>
        <w:jc w:val="center"/>
      </w:pPr>
      <w:r>
        <w:t>на территории Великого Новгорода (дизайн-код)</w:t>
      </w:r>
    </w:p>
    <w:p w:rsidR="00156F8C" w:rsidRDefault="00156F8C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 xml:space="preserve">5.1. В целях сохранения внешнего архитектурного облика сложившейся застройки Великого </w:t>
      </w:r>
      <w:r>
        <w:lastRenderedPageBreak/>
        <w:t>Новгорода к рекламным конструкциям предъявляются следующие требования: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5.1.1. Рекламные конструкции и их территориальное размещение должны соответствовать техническому регламенту;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5.1.2. Рекламные конструкции не должны нарушать архитектурно-градостроительный облик зданий, строений, сооружений, прилегающих улиц, площадей, должны гармонично вписываться в элементы архитектуры, внешнего благоустройства территории, а также в элементы озеленения;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5.1.3. Рекламные конструкции не должны нарушать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5.1.4. Рекламные конструкции, устанавливаемые на тротуарах, не должны создавать препятствия для движения пешеходов, в том числе сужать ширину тротуара до 4,0 м и менее;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5.1.5. </w:t>
      </w:r>
      <w:proofErr w:type="gramStart"/>
      <w:r>
        <w:t xml:space="preserve">Размещаемые на зданиях, строениях, сооружениях рекламные конструкции не должны прикрывать, закрывать оконные и дверные проемы, декоративные элементы фасадов, включая колонны, полуколонны, барельефы, горельефы, наличники, </w:t>
      </w:r>
      <w:proofErr w:type="spellStart"/>
      <w:r>
        <w:t>сандрики</w:t>
      </w:r>
      <w:proofErr w:type="spellEnd"/>
      <w:r>
        <w:t xml:space="preserve"> (любые обрамления оконных и дверных проемов), пилястры, углы зданий, оформленные рустом, лепнину и пр., балконы, лоджии, пандусы, перила и ограждения входных групп;</w:t>
      </w:r>
      <w:proofErr w:type="gramEnd"/>
    </w:p>
    <w:p w:rsidR="00156F8C" w:rsidRDefault="00156F8C">
      <w:pPr>
        <w:pStyle w:val="ConsPlusNormal"/>
        <w:spacing w:before="220"/>
        <w:ind w:firstLine="540"/>
        <w:jc w:val="both"/>
      </w:pPr>
      <w:r>
        <w:t>5.1.6. Вновь размещаемые рекламные конструкции должны располагаться на расстоянии не менее 10,0 м от установленных на фасаде мемориальных досок;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5.1.7. При размещении рекламных конструкций в одном направлении (на одной стороне проезда, улицы, магистрали или иного элемента улично-дорожной сети, одном разделительном газоне) и предназначенных для обзора с одного направления, должны соблюдаться следующие расстояния: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между рекламными конструкциями малого формата - не менее 10,0 м (за исключением флагштоков на отдельно стоящих опорах);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между рекламными конструкциями малого формата и рекламными конструкциями среднего формата - не менее 50,0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между рекламными конструкциями малого формата и рекламными конструкциями большого формата - не менее 70,0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между рекламными конструкциями среднего формата - не менее 70,0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между рекламными конструкциями среднего формата и рекламными конструкциями большого формата - не менее 70,0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между рекламными конструкциями большого формата - не менее 120,0 м.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Расстояние между краем отдельно стоящей рекламной конструкции с площадью информационного поля более 10,0 кв. м и жилым домом должно составлять не менее 10,0 м.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>
        <w:r>
          <w:rPr>
            <w:color w:val="0000FF"/>
          </w:rPr>
          <w:t>Решение</w:t>
        </w:r>
      </w:hyperlink>
      <w:r>
        <w:t xml:space="preserve"> Думы Великого Новгорода от 25.02.2022 N 669.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Расстояния определяются по кратчайшей прямой линии без учета искусственных и естественных преград;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5.1.8. Рекламные конструкции должны быть оборудованы внутренней или внешней подсветкой (за исключением афишных стендов, флагштоков на отдельно стоящей опоре, электронных табло);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lastRenderedPageBreak/>
        <w:t>5.1.9. Конструктивные элементы внешней подсветки рекламных конструкций, а также элементы жесткости и крепления (болтовые соединения, элементы опор, технологические косынки и т.п.) должны быть закрыты декоративными элементами или окрашены в цвет фасада;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5.1.10. Рекламные конструкции на многоквартирных домах размещаются не выше уровня перекрытий над нежилыми помещениями. При размещении рекламных конструкций в пределах этажа нахождения нежилых помещений должно быть предусмотрено расстояние не менее 0,8 м до окон жилых помещений;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5.1.11. В период отсутствия рекламного изображения на рекламной конструкции должна быть размещена социальная реклама или белое полотно (за исключением электронных табло, которые в период отсутствия рекламы должны быть выключены).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5.2. Несоблюдение требований к рекламным конструкциям, установленным настоящим разделом, является нарушением внешнего архитектурного облика сложившейся застройки Великого Новгорода и не допускается.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6. Порядок расчета размера платы за установку и эксплуатацию</w:t>
      </w:r>
    </w:p>
    <w:p w:rsidR="00156F8C" w:rsidRDefault="00156F8C">
      <w:pPr>
        <w:pStyle w:val="ConsPlusTitle"/>
        <w:jc w:val="center"/>
      </w:pPr>
      <w:r>
        <w:t>рекламных конструкций на объектах недвижимости, находящихся</w:t>
      </w:r>
    </w:p>
    <w:p w:rsidR="00156F8C" w:rsidRDefault="00156F8C">
      <w:pPr>
        <w:pStyle w:val="ConsPlusTitle"/>
        <w:jc w:val="center"/>
      </w:pPr>
      <w:r>
        <w:t xml:space="preserve">в муниципальной собственности, в том числе </w:t>
      </w:r>
      <w:proofErr w:type="gramStart"/>
      <w:r>
        <w:t>земельных</w:t>
      </w:r>
      <w:proofErr w:type="gramEnd"/>
    </w:p>
    <w:p w:rsidR="00156F8C" w:rsidRDefault="00156F8C">
      <w:pPr>
        <w:pStyle w:val="ConsPlusTitle"/>
        <w:jc w:val="center"/>
      </w:pPr>
      <w:r>
        <w:t xml:space="preserve">участках, и на земельных участках, </w:t>
      </w:r>
      <w:proofErr w:type="gramStart"/>
      <w:r>
        <w:t>государственная</w:t>
      </w:r>
      <w:proofErr w:type="gramEnd"/>
    </w:p>
    <w:p w:rsidR="00156F8C" w:rsidRDefault="00156F8C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156F8C" w:rsidRDefault="00156F8C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6.1. Размер платы за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 (далее - плата), за период, составляющий один календарный год, определяется по следующей формуле:</w:t>
      </w:r>
    </w:p>
    <w:p w:rsidR="00156F8C" w:rsidRDefault="00156F8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 xml:space="preserve">П = </w:t>
      </w:r>
      <w:proofErr w:type="spellStart"/>
      <w:r>
        <w:t>Брп</w:t>
      </w:r>
      <w:proofErr w:type="spellEnd"/>
      <w:r>
        <w:t xml:space="preserve"> x S x</w:t>
      </w:r>
      <w:proofErr w:type="gramStart"/>
      <w:r>
        <w:t xml:space="preserve"> Т</w:t>
      </w:r>
      <w:proofErr w:type="gramEnd"/>
      <w:r>
        <w:t xml:space="preserve"> x К x К1 x </w:t>
      </w:r>
      <w:proofErr w:type="spellStart"/>
      <w:r>
        <w:t>Кзон</w:t>
      </w:r>
      <w:proofErr w:type="spellEnd"/>
      <w:r>
        <w:t xml:space="preserve"> x К2, где: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величина платы, руб.;</w:t>
      </w:r>
    </w:p>
    <w:p w:rsidR="00156F8C" w:rsidRDefault="00156F8C">
      <w:pPr>
        <w:pStyle w:val="ConsPlusNormal"/>
        <w:spacing w:before="220"/>
        <w:ind w:firstLine="540"/>
        <w:jc w:val="both"/>
      </w:pPr>
      <w:proofErr w:type="spellStart"/>
      <w:r>
        <w:t>Брп</w:t>
      </w:r>
      <w:proofErr w:type="spellEnd"/>
      <w:r>
        <w:t xml:space="preserve"> - базовый размер платы за 1,0 кв. м площади информационного поля рекламной конструкции в год, руб.;</w:t>
      </w:r>
    </w:p>
    <w:p w:rsidR="00156F8C" w:rsidRDefault="00156F8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S - площадь информационного поля, кв. м;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Т - период эксплуатации рекламной конструкции, год. Т = 1;</w:t>
      </w:r>
    </w:p>
    <w:p w:rsidR="00156F8C" w:rsidRDefault="00156F8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индекс потребительских цен;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применяемые технологии демонстрации рекламы;</w:t>
      </w:r>
    </w:p>
    <w:p w:rsidR="00156F8C" w:rsidRDefault="00156F8C">
      <w:pPr>
        <w:pStyle w:val="ConsPlusNormal"/>
        <w:spacing w:before="220"/>
        <w:ind w:firstLine="540"/>
        <w:jc w:val="both"/>
      </w:pPr>
      <w:proofErr w:type="spellStart"/>
      <w:r>
        <w:t>Кзон</w:t>
      </w:r>
      <w:proofErr w:type="spellEnd"/>
      <w:r>
        <w:t xml:space="preserve"> - коэффициент рекламного тарифного зонирования;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вид рекламных конструкций.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6.2. Базовый размер платы (</w:t>
      </w:r>
      <w:proofErr w:type="spellStart"/>
      <w:r>
        <w:t>Брп</w:t>
      </w:r>
      <w:proofErr w:type="spellEnd"/>
      <w:r>
        <w:t>) составляет 1800 рублей за 1,0 кв. м в год.</w:t>
      </w:r>
    </w:p>
    <w:p w:rsidR="00156F8C" w:rsidRDefault="00156F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6.3. Площадь информационного поля (S):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lastRenderedPageBreak/>
        <w:t>для рекламных конструкций со сменными рекламными изображениями определяется как общая площадь информационных полей без учета количества сменных рекламных изображений;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для рекламных конструкций, размещенных на стене здания, строения, сооружения и имеющих сложную конфигурацию, определяется как площадь прямоугольника, в который полностью вписывается рекламная конструкция;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для отдельно стоящих рекламных конструкций, имеющих сложную конфигурацию, определяется как сумма площадей прямоугольников, в которые полностью вписывается информационное поле.</w:t>
      </w:r>
    </w:p>
    <w:p w:rsidR="00156F8C" w:rsidRDefault="00156F8C">
      <w:pPr>
        <w:pStyle w:val="ConsPlusNormal"/>
        <w:jc w:val="both"/>
      </w:pPr>
      <w:r>
        <w:t xml:space="preserve">(п. 6.3 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6.4. Значение коэффициента</w:t>
      </w:r>
      <w:proofErr w:type="gramStart"/>
      <w:r>
        <w:t xml:space="preserve"> Т</w:t>
      </w:r>
      <w:proofErr w:type="gramEnd"/>
      <w:r>
        <w:t>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единица измерения коэффициента</w:t>
      </w:r>
      <w:proofErr w:type="gramStart"/>
      <w:r>
        <w:t xml:space="preserve"> Т</w:t>
      </w:r>
      <w:proofErr w:type="gramEnd"/>
      <w:r>
        <w:t xml:space="preserve"> принимается равной 1 году. При исчислении периода в месяцах применяется 1/12 величины платы за год, при исчислении периода в днях - 1/365 (или 1/366) величины платы за год.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6.5. Значение коэффициента К</w:t>
      </w:r>
      <w:proofErr w:type="gramStart"/>
      <w:r>
        <w:t>1</w:t>
      </w:r>
      <w:proofErr w:type="gramEnd"/>
      <w:r>
        <w:t>: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для рекламных конструкций с автоматической сменой изображения, динамической рекламы, роллеров К</w:t>
      </w:r>
      <w:proofErr w:type="gramStart"/>
      <w:r>
        <w:t>1</w:t>
      </w:r>
      <w:proofErr w:type="gramEnd"/>
      <w:r>
        <w:t xml:space="preserve"> = 1,2;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для всех остальных рекламных конструкций К</w:t>
      </w:r>
      <w:proofErr w:type="gramStart"/>
      <w:r>
        <w:t>1</w:t>
      </w:r>
      <w:proofErr w:type="gramEnd"/>
      <w:r>
        <w:t xml:space="preserve"> = 1.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6.6. На территории городского округа выделены 3 зоны с соответствующими коэффициентами рекламного тарифного зонирования </w:t>
      </w:r>
      <w:proofErr w:type="spellStart"/>
      <w:r>
        <w:t>Кзон</w:t>
      </w:r>
      <w:proofErr w:type="spellEnd"/>
      <w:r>
        <w:t>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1 зона, </w:t>
      </w:r>
      <w:proofErr w:type="spellStart"/>
      <w:r>
        <w:t>Кзон</w:t>
      </w:r>
      <w:proofErr w:type="spellEnd"/>
      <w:r>
        <w:t xml:space="preserve"> = 1,2: </w:t>
      </w:r>
      <w:proofErr w:type="gramStart"/>
      <w:r>
        <w:t xml:space="preserve">Большая Санкт-Петербургская ул., Псковская ул., просп. Мира, просп. Александра </w:t>
      </w:r>
      <w:proofErr w:type="spellStart"/>
      <w:r>
        <w:t>Корсунова</w:t>
      </w:r>
      <w:proofErr w:type="spellEnd"/>
      <w:r>
        <w:t xml:space="preserve">, ул. Державина, </w:t>
      </w:r>
      <w:proofErr w:type="spellStart"/>
      <w:r>
        <w:t>Колмовская</w:t>
      </w:r>
      <w:proofErr w:type="spellEnd"/>
      <w:r>
        <w:t xml:space="preserve"> наб., </w:t>
      </w:r>
      <w:proofErr w:type="spellStart"/>
      <w:r>
        <w:t>Лужское</w:t>
      </w:r>
      <w:proofErr w:type="spellEnd"/>
      <w:r>
        <w:t xml:space="preserve"> шоссе, Большая Московская ул., </w:t>
      </w:r>
      <w:proofErr w:type="spellStart"/>
      <w:r>
        <w:t>Нехинская</w:t>
      </w:r>
      <w:proofErr w:type="spellEnd"/>
      <w:r>
        <w:t xml:space="preserve"> ул., ул. </w:t>
      </w:r>
      <w:proofErr w:type="spellStart"/>
      <w:r>
        <w:t>Кочетова</w:t>
      </w:r>
      <w:proofErr w:type="spellEnd"/>
      <w:r>
        <w:t>;</w:t>
      </w:r>
      <w:proofErr w:type="gramEnd"/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2 зона, </w:t>
      </w:r>
      <w:proofErr w:type="spellStart"/>
      <w:r>
        <w:t>Кзон</w:t>
      </w:r>
      <w:proofErr w:type="spellEnd"/>
      <w:r>
        <w:t xml:space="preserve"> = 1,1: </w:t>
      </w:r>
      <w:proofErr w:type="gramStart"/>
      <w:r>
        <w:t xml:space="preserve">Октябрьская ул., ул. Советской Армии, ул. Ломоносова, ул. Германа, Рабочая ул., Магистральная ул., проезд Энергетиков, </w:t>
      </w:r>
      <w:proofErr w:type="spellStart"/>
      <w:r>
        <w:t>Сырковское</w:t>
      </w:r>
      <w:proofErr w:type="spellEnd"/>
      <w:r>
        <w:t xml:space="preserve"> шоссе, Московская ул., Троицкая ул., Большая </w:t>
      </w:r>
      <w:proofErr w:type="spellStart"/>
      <w:r>
        <w:t>Власьевская</w:t>
      </w:r>
      <w:proofErr w:type="spellEnd"/>
      <w:r>
        <w:t xml:space="preserve"> ул., </w:t>
      </w:r>
      <w:proofErr w:type="spellStart"/>
      <w:r>
        <w:t>Каберова</w:t>
      </w:r>
      <w:proofErr w:type="spellEnd"/>
      <w:r>
        <w:t xml:space="preserve"> - </w:t>
      </w:r>
      <w:proofErr w:type="spellStart"/>
      <w:r>
        <w:t>Власьевская</w:t>
      </w:r>
      <w:proofErr w:type="spellEnd"/>
      <w:r>
        <w:t xml:space="preserve"> ул., Десятинная ул., Прусская ул., Орловская ул., ул. </w:t>
      </w:r>
      <w:proofErr w:type="spellStart"/>
      <w:r>
        <w:t>Чудинцева</w:t>
      </w:r>
      <w:proofErr w:type="spellEnd"/>
      <w:r>
        <w:t xml:space="preserve"> ул., </w:t>
      </w:r>
      <w:proofErr w:type="spellStart"/>
      <w:r>
        <w:t>Людогоща</w:t>
      </w:r>
      <w:proofErr w:type="spellEnd"/>
      <w:r>
        <w:t xml:space="preserve"> ул., </w:t>
      </w:r>
      <w:proofErr w:type="spellStart"/>
      <w:r>
        <w:t>Новолучанская</w:t>
      </w:r>
      <w:proofErr w:type="spellEnd"/>
      <w:r>
        <w:t xml:space="preserve"> ул., Тихвинская ул., Черемнова - Конюхова ул., </w:t>
      </w:r>
      <w:proofErr w:type="spellStart"/>
      <w:r>
        <w:t>Щитная</w:t>
      </w:r>
      <w:proofErr w:type="spellEnd"/>
      <w:r>
        <w:t xml:space="preserve"> ул., ул. Герасименко - </w:t>
      </w:r>
      <w:proofErr w:type="spellStart"/>
      <w:r>
        <w:t>Маницына</w:t>
      </w:r>
      <w:proofErr w:type="spellEnd"/>
      <w:r>
        <w:t>, Федоровский Ручей, наб.</w:t>
      </w:r>
      <w:proofErr w:type="gramEnd"/>
      <w:r>
        <w:t xml:space="preserve"> Александра Невского, Юрьевское шоссе;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3 зона, </w:t>
      </w:r>
      <w:proofErr w:type="spellStart"/>
      <w:r>
        <w:t>Кзон</w:t>
      </w:r>
      <w:proofErr w:type="spellEnd"/>
      <w:r>
        <w:t xml:space="preserve"> = 1,0: территория Великого Новгорода, не вошедшая в зоны 1 и 2.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В случае расположения рекламной конструкции на пересечении улиц, относящихся к разным зонам, расчет платы осуществляется по более высокому коэффициенту рекламного тарифного зонирования.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6.7. Значение коэффициента К</w:t>
      </w:r>
      <w:proofErr w:type="gramStart"/>
      <w:r>
        <w:t>2</w:t>
      </w:r>
      <w:proofErr w:type="gramEnd"/>
      <w:r>
        <w:t xml:space="preserve"> приведено в </w:t>
      </w:r>
      <w:hyperlink w:anchor="P265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6.8. Размер платы подлежит корректировке с учетом индекса-дефлятора потребительских цен на соответствующий финансовый год.</w:t>
      </w:r>
    </w:p>
    <w:p w:rsidR="00156F8C" w:rsidRDefault="00156F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6.9. Срок внесения платы устанавливается не позднее 15 апреля текущего года.</w:t>
      </w:r>
    </w:p>
    <w:p w:rsidR="00156F8C" w:rsidRDefault="00156F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 xml:space="preserve">6.10. Исключен. - </w:t>
      </w:r>
      <w:hyperlink r:id="rId44">
        <w:r>
          <w:rPr>
            <w:color w:val="0000FF"/>
          </w:rPr>
          <w:t>Решение</w:t>
        </w:r>
      </w:hyperlink>
      <w:r>
        <w:t xml:space="preserve"> Думы Великого Новгорода от 31.08.2020 N 458.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7. Форма проведения торгов на право заключения договоров</w:t>
      </w:r>
    </w:p>
    <w:p w:rsidR="00156F8C" w:rsidRDefault="00156F8C">
      <w:pPr>
        <w:pStyle w:val="ConsPlusTitle"/>
        <w:jc w:val="center"/>
      </w:pPr>
      <w:r>
        <w:lastRenderedPageBreak/>
        <w:t>на установку и эксплуатацию рекламной конструкции</w:t>
      </w:r>
    </w:p>
    <w:p w:rsidR="00156F8C" w:rsidRDefault="00156F8C">
      <w:pPr>
        <w:pStyle w:val="ConsPlusTitle"/>
        <w:jc w:val="center"/>
      </w:pPr>
      <w:r>
        <w:t xml:space="preserve">на объектах недвижимости, находящихся </w:t>
      </w:r>
      <w:proofErr w:type="gramStart"/>
      <w:r>
        <w:t>в</w:t>
      </w:r>
      <w:proofErr w:type="gramEnd"/>
      <w:r>
        <w:t xml:space="preserve"> муниципальной</w:t>
      </w:r>
    </w:p>
    <w:p w:rsidR="00156F8C" w:rsidRDefault="00156F8C">
      <w:pPr>
        <w:pStyle w:val="ConsPlusTitle"/>
        <w:jc w:val="center"/>
      </w:pPr>
      <w:r>
        <w:t>собственности, в том числе земельных участках,</w:t>
      </w:r>
    </w:p>
    <w:p w:rsidR="00156F8C" w:rsidRDefault="00156F8C">
      <w:pPr>
        <w:pStyle w:val="ConsPlusTitle"/>
        <w:jc w:val="center"/>
      </w:pPr>
      <w:r>
        <w:t>и на земельных участках, государственная собственность</w:t>
      </w:r>
    </w:p>
    <w:p w:rsidR="00156F8C" w:rsidRDefault="00156F8C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сроки договоров</w:t>
      </w:r>
    </w:p>
    <w:p w:rsidR="00156F8C" w:rsidRDefault="00156F8C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Великого Новгорода от 31.08.2020 N 458)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7.1. Торги на право заключения договоров на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разграничена, проводятся в форме аукциона, в том числе, в электронной форме.</w:t>
      </w:r>
    </w:p>
    <w:p w:rsidR="00156F8C" w:rsidRDefault="00156F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 ред. </w:t>
      </w:r>
      <w:hyperlink r:id="rId46">
        <w:r>
          <w:rPr>
            <w:color w:val="0000FF"/>
          </w:rPr>
          <w:t>Решения</w:t>
        </w:r>
      </w:hyperlink>
      <w:r>
        <w:t xml:space="preserve"> Думы Великого Новгорода от 25.02.2022 N 669)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7.2. Договоры на установку и эксплуатацию рекламных конструкций на объектах недвижимости, находящихся в муниципальной собственности, в том числе земельных участках, и на земельных участках, государственная собственность на которые не разграничена, заключаются на срок десять лет.</w:t>
      </w:r>
    </w:p>
    <w:p w:rsidR="00156F8C" w:rsidRDefault="00156F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 ред. </w:t>
      </w:r>
      <w:hyperlink r:id="rId47">
        <w:r>
          <w:rPr>
            <w:color w:val="0000FF"/>
          </w:rPr>
          <w:t>Решения</w:t>
        </w:r>
      </w:hyperlink>
      <w:r>
        <w:t xml:space="preserve"> Думы Великого Новгорода от 27.05.2021 N 568)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8. Ответственность за нарушение требований настоящего</w:t>
      </w:r>
    </w:p>
    <w:p w:rsidR="00156F8C" w:rsidRDefault="00156F8C">
      <w:pPr>
        <w:pStyle w:val="ConsPlusTitle"/>
        <w:jc w:val="center"/>
      </w:pPr>
      <w:r>
        <w:t>Положения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8.1. Ответственность за нарушение требований настоящего Положения наступает в соответствии с действующим законодательством.</w:t>
      </w:r>
    </w:p>
    <w:p w:rsidR="00156F8C" w:rsidRDefault="00156F8C">
      <w:pPr>
        <w:pStyle w:val="ConsPlusNormal"/>
        <w:spacing w:before="220"/>
        <w:ind w:firstLine="540"/>
        <w:jc w:val="both"/>
      </w:pPr>
      <w:r>
        <w:t>8.2. Применение мер ответственности не освобождает нарушителя от обязанности по устранению нарушения и соблюдению настоящего Положения.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Title"/>
        <w:jc w:val="center"/>
        <w:outlineLvl w:val="1"/>
      </w:pPr>
      <w:r>
        <w:t>9. Переходные положения</w:t>
      </w:r>
    </w:p>
    <w:p w:rsidR="00156F8C" w:rsidRDefault="00156F8C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Думы Великого Новгорода от 01.02.2019 N 103)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  <w:r>
        <w:t>Рекламные конструкции, установленные до вступления в силу настоящего Положения или изменений в настоящее Положение и не соответствующие его требованиям, могут эксплуатироваться до окончания срока действия разрешения на установку и эксплуатацию рекламной конструкции либо признания разрешения на установку и эксплуатацию рекламной конструкции недействительным или аннулированным.</w:t>
      </w: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jc w:val="right"/>
        <w:outlineLvl w:val="1"/>
      </w:pPr>
      <w:bookmarkStart w:id="2" w:name="P265"/>
      <w:bookmarkEnd w:id="2"/>
      <w:r>
        <w:t>Приложение</w:t>
      </w:r>
    </w:p>
    <w:p w:rsidR="00156F8C" w:rsidRDefault="00156F8C">
      <w:pPr>
        <w:pStyle w:val="ConsPlusNormal"/>
        <w:jc w:val="right"/>
      </w:pPr>
      <w:r>
        <w:t>к Положению</w:t>
      </w:r>
    </w:p>
    <w:p w:rsidR="00156F8C" w:rsidRDefault="00156F8C">
      <w:pPr>
        <w:pStyle w:val="ConsPlusNormal"/>
        <w:jc w:val="right"/>
      </w:pPr>
      <w:r>
        <w:t>о порядке осуществления органами местного</w:t>
      </w:r>
    </w:p>
    <w:p w:rsidR="00156F8C" w:rsidRDefault="00156F8C">
      <w:pPr>
        <w:pStyle w:val="ConsPlusNormal"/>
        <w:jc w:val="right"/>
      </w:pPr>
      <w:r>
        <w:t>самоуправления Великого Новгорода полномочий</w:t>
      </w:r>
    </w:p>
    <w:p w:rsidR="00156F8C" w:rsidRDefault="00156F8C">
      <w:pPr>
        <w:pStyle w:val="ConsPlusNormal"/>
        <w:jc w:val="right"/>
      </w:pPr>
      <w:r>
        <w:t>по реализации Федерального закона "О рекламе"</w:t>
      </w:r>
    </w:p>
    <w:p w:rsidR="00156F8C" w:rsidRDefault="00156F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6F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F8C" w:rsidRDefault="00156F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F8C" w:rsidRDefault="00156F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F8C" w:rsidRDefault="00156F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Великого Новгорода</w:t>
            </w:r>
            <w:proofErr w:type="gramEnd"/>
          </w:p>
          <w:p w:rsidR="00156F8C" w:rsidRDefault="00156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49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27.05.2021 </w:t>
            </w:r>
            <w:hyperlink r:id="rId50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F8C" w:rsidRDefault="00156F8C">
            <w:pPr>
              <w:pStyle w:val="ConsPlusNormal"/>
            </w:pPr>
          </w:p>
        </w:tc>
      </w:tr>
    </w:tbl>
    <w:p w:rsidR="00156F8C" w:rsidRDefault="00156F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center"/>
            </w:pPr>
            <w:r>
              <w:t>Тип рекламной конструкции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2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 xml:space="preserve">1. </w:t>
            </w:r>
            <w:proofErr w:type="spellStart"/>
            <w:r>
              <w:t>Билборд</w:t>
            </w:r>
            <w:proofErr w:type="spellEnd"/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1,3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 xml:space="preserve">2. </w:t>
            </w:r>
            <w:proofErr w:type="spellStart"/>
            <w:r>
              <w:t>Ситиборд</w:t>
            </w:r>
            <w:proofErr w:type="spellEnd"/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1,5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 xml:space="preserve">3. </w:t>
            </w:r>
            <w:proofErr w:type="spellStart"/>
            <w:r>
              <w:t>Призмадинамическая</w:t>
            </w:r>
            <w:proofErr w:type="spellEnd"/>
            <w:r>
              <w:t xml:space="preserve"> конструкция (</w:t>
            </w:r>
            <w:proofErr w:type="spellStart"/>
            <w:r>
              <w:t>призмавижн</w:t>
            </w:r>
            <w:proofErr w:type="spellEnd"/>
            <w:r>
              <w:t>)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1,6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 xml:space="preserve">4. </w:t>
            </w:r>
            <w:proofErr w:type="spellStart"/>
            <w:r>
              <w:t>Суперсайт</w:t>
            </w:r>
            <w:proofErr w:type="spellEnd"/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1,0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5. Афишный стенд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1,2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6. Сити-формат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5,5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7. Электронные табло (экраны)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2,6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8. Стела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1,7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9. Стела АЗС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4,15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10. Флагшток на отдельно стоящей опоре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1,5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 xml:space="preserve">11. </w:t>
            </w:r>
            <w:proofErr w:type="spellStart"/>
            <w:r>
              <w:t>Пиллар</w:t>
            </w:r>
            <w:proofErr w:type="spellEnd"/>
            <w:r>
              <w:t xml:space="preserve"> (тумба)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1,95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12. Объемно-пространственные объекты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1,6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13. Остановочные навесы с сити-форматами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0,1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14. Настенное панно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2,8</w:t>
            </w:r>
          </w:p>
        </w:tc>
      </w:tr>
      <w:tr w:rsidR="00156F8C">
        <w:tc>
          <w:tcPr>
            <w:tcW w:w="5839" w:type="dxa"/>
          </w:tcPr>
          <w:p w:rsidR="00156F8C" w:rsidRDefault="00156F8C">
            <w:pPr>
              <w:pStyle w:val="ConsPlusNormal"/>
              <w:jc w:val="both"/>
            </w:pPr>
            <w:r>
              <w:t>15. Брандмауэрное панно</w:t>
            </w:r>
          </w:p>
        </w:tc>
        <w:tc>
          <w:tcPr>
            <w:tcW w:w="3231" w:type="dxa"/>
          </w:tcPr>
          <w:p w:rsidR="00156F8C" w:rsidRDefault="00156F8C">
            <w:pPr>
              <w:pStyle w:val="ConsPlusNormal"/>
              <w:jc w:val="center"/>
            </w:pPr>
            <w:r>
              <w:t>1,3</w:t>
            </w:r>
          </w:p>
        </w:tc>
      </w:tr>
      <w:tr w:rsidR="00156F8C">
        <w:tblPrEx>
          <w:tblBorders>
            <w:insideH w:val="nil"/>
          </w:tblBorders>
        </w:tblPrEx>
        <w:tc>
          <w:tcPr>
            <w:tcW w:w="5839" w:type="dxa"/>
            <w:tcBorders>
              <w:bottom w:val="nil"/>
            </w:tcBorders>
          </w:tcPr>
          <w:p w:rsidR="00156F8C" w:rsidRDefault="00156F8C">
            <w:pPr>
              <w:pStyle w:val="ConsPlusNormal"/>
            </w:pPr>
            <w:r>
              <w:t>16. Проекционная установка</w:t>
            </w:r>
          </w:p>
        </w:tc>
        <w:tc>
          <w:tcPr>
            <w:tcW w:w="3231" w:type="dxa"/>
            <w:tcBorders>
              <w:bottom w:val="nil"/>
            </w:tcBorders>
          </w:tcPr>
          <w:p w:rsidR="00156F8C" w:rsidRDefault="00156F8C">
            <w:pPr>
              <w:pStyle w:val="ConsPlusNormal"/>
              <w:jc w:val="center"/>
            </w:pPr>
            <w:r>
              <w:t>0,13</w:t>
            </w:r>
          </w:p>
        </w:tc>
      </w:tr>
      <w:tr w:rsidR="00156F8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56F8C" w:rsidRDefault="00156F8C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>
              <w:r>
                <w:rPr>
                  <w:color w:val="0000FF"/>
                </w:rPr>
                <w:t>Решением</w:t>
              </w:r>
            </w:hyperlink>
            <w:r>
              <w:t xml:space="preserve"> Думы Великого Новгорода от 27.05.2021 N 568)</w:t>
            </w:r>
          </w:p>
        </w:tc>
      </w:tr>
    </w:tbl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ind w:firstLine="540"/>
        <w:jc w:val="both"/>
      </w:pPr>
    </w:p>
    <w:p w:rsidR="00156F8C" w:rsidRDefault="00156F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6A4" w:rsidRDefault="00D656A4"/>
    <w:sectPr w:rsidR="00D656A4" w:rsidSect="00A8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C"/>
    <w:rsid w:val="00156F8C"/>
    <w:rsid w:val="00D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6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6F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6F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6F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51FCB373A95D5AB753185A3B22827D4E4BE134142FCB05EEECC6E870BEDDBE068D422E0ED493DC3D95894D076331F3B93F17EA5AhDkFN" TargetMode="External"/><Relationship Id="rId18" Type="http://schemas.openxmlformats.org/officeDocument/2006/relationships/hyperlink" Target="consultantplus://offline/ref=9851FCB373A95D5AB75306572D4EDD754E44B63F1D29C251B0B39DB527B7D7E941C21B6C48DC99886CD1DD430D317EB7E42C14EC46DCAE56493B98h8k6N" TargetMode="External"/><Relationship Id="rId26" Type="http://schemas.openxmlformats.org/officeDocument/2006/relationships/hyperlink" Target="consultantplus://offline/ref=9851FCB373A95D5AB75306572D4EDD754E44B63F1D29C251B0B39DB527B7D7E941C21B6C48DC99886CD1DD480D317EB7E42C14EC46DCAE56493B98h8k6N" TargetMode="External"/><Relationship Id="rId39" Type="http://schemas.openxmlformats.org/officeDocument/2006/relationships/hyperlink" Target="consultantplus://offline/ref=9851FCB373A95D5AB75306572D4EDD754E44B63F1D29C251B0B39DB527B7D7E941C21B6C48DC99886CD0DC410D317EB7E42C14EC46DCAE56493B98h8k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51FCB373A95D5AB75306572D4EDD754E44B63F1D21C153B1B39DB527B7D7E941C21B6C48DC99886CD1DD400D317EB7E42C14EC46DCAE56493B98h8k6N" TargetMode="External"/><Relationship Id="rId34" Type="http://schemas.openxmlformats.org/officeDocument/2006/relationships/hyperlink" Target="consultantplus://offline/ref=9851FCB373A95D5AB75306572D4EDD754E44B63F1D29C251B0B39DB527B7D7E941C21B6C48DC99886CD1DB410D317EB7E42C14EC46DCAE56493B98h8k6N" TargetMode="External"/><Relationship Id="rId42" Type="http://schemas.openxmlformats.org/officeDocument/2006/relationships/hyperlink" Target="consultantplus://offline/ref=9851FCB373A95D5AB75306572D4EDD754E44B63F1D29C251B0B39DB527B7D7E941C21B6C48DC99886CD0DC490D317EB7E42C14EC46DCAE56493B98h8k6N" TargetMode="External"/><Relationship Id="rId47" Type="http://schemas.openxmlformats.org/officeDocument/2006/relationships/hyperlink" Target="consultantplus://offline/ref=9851FCB373A95D5AB75306572D4EDD754E44B63F1D2DC150B5B39DB527B7D7E941C21B6C48DC99886CD1DD470D317EB7E42C14EC46DCAE56493B98h8k6N" TargetMode="External"/><Relationship Id="rId50" Type="http://schemas.openxmlformats.org/officeDocument/2006/relationships/hyperlink" Target="consultantplus://offline/ref=9851FCB373A95D5AB75306572D4EDD754E44B63F1D2DC150B5B39DB527B7D7E941C21B6C48DC99886CD1DD490D317EB7E42C14EC46DCAE56493B98h8k6N" TargetMode="External"/><Relationship Id="rId7" Type="http://schemas.openxmlformats.org/officeDocument/2006/relationships/hyperlink" Target="consultantplus://offline/ref=9851FCB373A95D5AB75306572D4EDD754E44B63F1C20C85AB5B39DB527B7D7E941C21B6C48DC99886CD1DC460D317EB7E42C14EC46DCAE56493B98h8k6N" TargetMode="External"/><Relationship Id="rId12" Type="http://schemas.openxmlformats.org/officeDocument/2006/relationships/hyperlink" Target="consultantplus://offline/ref=9851FCB373A95D5AB753185A3B22827D4E4AE935132FCB05EEECC6E870BEDDBE068D422E0CD09A8E6FDA8811423022F2B73F15E246DEA64Ah4k8N" TargetMode="External"/><Relationship Id="rId17" Type="http://schemas.openxmlformats.org/officeDocument/2006/relationships/hyperlink" Target="consultantplus://offline/ref=9851FCB373A95D5AB75306572D4EDD754E44B63F1528C65BBAB9C0BF2FEEDBEB46CD447B4F9595896CD1DC44006E7BA2F57418EB5EC2A64055399A87h4kAN" TargetMode="External"/><Relationship Id="rId25" Type="http://schemas.openxmlformats.org/officeDocument/2006/relationships/hyperlink" Target="consultantplus://offline/ref=9851FCB373A95D5AB75306572D4EDD754E44B63F1C2CC853B1B39DB527B7D7E941C21B6C48DC99886CD1DD420D317EB7E42C14EC46DCAE56493B98h8k6N" TargetMode="External"/><Relationship Id="rId33" Type="http://schemas.openxmlformats.org/officeDocument/2006/relationships/hyperlink" Target="consultantplus://offline/ref=9851FCB373A95D5AB75306572D4EDD754E44B63F1D2DC150B5B39DB527B7D7E941C21B6C48DC99886CD1DD450D317EB7E42C14EC46DCAE56493B98h8k6N" TargetMode="External"/><Relationship Id="rId38" Type="http://schemas.openxmlformats.org/officeDocument/2006/relationships/hyperlink" Target="consultantplus://offline/ref=9851FCB373A95D5AB75306572D4EDD754E44B63F1D29C251B0B39DB527B7D7E941C21B6C48DC99886CD1D5490D317EB7E42C14EC46DCAE56493B98h8k6N" TargetMode="External"/><Relationship Id="rId46" Type="http://schemas.openxmlformats.org/officeDocument/2006/relationships/hyperlink" Target="consultantplus://offline/ref=9851FCB373A95D5AB75306572D4EDD754E44B63F1D21C153B1B39DB527B7D7E941C21B6C48DC99886CD1DD450D317EB7E42C14EC46DCAE56493B98h8k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51FCB373A95D5AB75306572D4EDD754E44B63F1D29C251B0B39DB527B7D7E941C21B6C48DC99886CD1DC490D317EB7E42C14EC46DCAE56493B98h8k6N" TargetMode="External"/><Relationship Id="rId20" Type="http://schemas.openxmlformats.org/officeDocument/2006/relationships/hyperlink" Target="consultantplus://offline/ref=9851FCB373A95D5AB75306572D4EDD754E44B63F1D21C153B1B39DB527B7D7E941C21B6C48DC99886CD1DC480D317EB7E42C14EC46DCAE56493B98h8k6N" TargetMode="External"/><Relationship Id="rId29" Type="http://schemas.openxmlformats.org/officeDocument/2006/relationships/hyperlink" Target="consultantplus://offline/ref=9851FCB373A95D5AB75306572D4EDD754E44B63F1D2DC150B5B39DB527B7D7E941C21B6C48DC99886CD1DC480D317EB7E42C14EC46DCAE56493B98h8k6N" TargetMode="External"/><Relationship Id="rId41" Type="http://schemas.openxmlformats.org/officeDocument/2006/relationships/hyperlink" Target="consultantplus://offline/ref=9851FCB373A95D5AB75306572D4EDD754E44B63F1D29C251B0B39DB527B7D7E941C21B6C48DC99886CD0DC450D317EB7E42C14EC46DCAE56493B98h8k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1FCB373A95D5AB75306572D4EDD754E44B63F1C2CC853B1B39DB527B7D7E941C21B6C48DC99886CD1DC460D317EB7E42C14EC46DCAE56493B98h8k6N" TargetMode="External"/><Relationship Id="rId11" Type="http://schemas.openxmlformats.org/officeDocument/2006/relationships/hyperlink" Target="consultantplus://offline/ref=9851FCB373A95D5AB75306572D4EDD754E44B63F1D2CC754B4B39DB527B7D7E941C21B6C48DC99886CD1DB490D317EB7E42C14EC46DCAE56493B98h8k6N" TargetMode="External"/><Relationship Id="rId24" Type="http://schemas.openxmlformats.org/officeDocument/2006/relationships/hyperlink" Target="consultantplus://offline/ref=9851FCB373A95D5AB75306572D4EDD754E44B63F1D29C251B0B39DB527B7D7E941C21B6C48DC99886CD1DD470D317EB7E42C14EC46DCAE56493B98h8k6N" TargetMode="External"/><Relationship Id="rId32" Type="http://schemas.openxmlformats.org/officeDocument/2006/relationships/hyperlink" Target="consultantplus://offline/ref=9851FCB373A95D5AB75306572D4EDD754E44B63F1D2DC150B5B39DB527B7D7E941C21B6C48DC99886CD1DD430D317EB7E42C14EC46DCAE56493B98h8k6N" TargetMode="External"/><Relationship Id="rId37" Type="http://schemas.openxmlformats.org/officeDocument/2006/relationships/hyperlink" Target="consultantplus://offline/ref=9851FCB373A95D5AB75306572D4EDD754E44B63F1D29C251B0B39DB527B7D7E941C21B6C48DC99886CD1D5470D317EB7E42C14EC46DCAE56493B98h8k6N" TargetMode="External"/><Relationship Id="rId40" Type="http://schemas.openxmlformats.org/officeDocument/2006/relationships/hyperlink" Target="consultantplus://offline/ref=9851FCB373A95D5AB75306572D4EDD754E44B63F1D29C251B0B39DB527B7D7E941C21B6C48DC99886CD0DC430D317EB7E42C14EC46DCAE56493B98h8k6N" TargetMode="External"/><Relationship Id="rId45" Type="http://schemas.openxmlformats.org/officeDocument/2006/relationships/hyperlink" Target="consultantplus://offline/ref=9851FCB373A95D5AB75306572D4EDD754E44B63F1D29C251B0B39DB527B7D7E941C21B6C48DC99886CD0DD420D317EB7E42C14EC46DCAE56493B98h8k6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851FCB373A95D5AB75306572D4EDD754E44B63F1C29C65BB2B39DB527B7D7E941C21B6C48DC99886CD1DC460D317EB7E42C14EC46DCAE56493B98h8k6N" TargetMode="External"/><Relationship Id="rId15" Type="http://schemas.openxmlformats.org/officeDocument/2006/relationships/hyperlink" Target="consultantplus://offline/ref=9851FCB373A95D5AB75306572D4EDD754E44B63F1D29C251B0B39DB527B7D7E941C21B6C48DC99886CD1DC470D317EB7E42C14EC46DCAE56493B98h8k6N" TargetMode="External"/><Relationship Id="rId23" Type="http://schemas.openxmlformats.org/officeDocument/2006/relationships/hyperlink" Target="consultantplus://offline/ref=9851FCB373A95D5AB75306572D4EDD754E44B63F1D29C251B0B39DB527B7D7E941C21B6C48DC99886CD1DD470D317EB7E42C14EC46DCAE56493B98h8k6N" TargetMode="External"/><Relationship Id="rId28" Type="http://schemas.openxmlformats.org/officeDocument/2006/relationships/hyperlink" Target="consultantplus://offline/ref=9851FCB373A95D5AB75306572D4EDD754E44B63F1D29C251B0B39DB527B7D7E941C21B6C48DC99886CD1DF490D317EB7E42C14EC46DCAE56493B98h8k6N" TargetMode="External"/><Relationship Id="rId36" Type="http://schemas.openxmlformats.org/officeDocument/2006/relationships/hyperlink" Target="consultantplus://offline/ref=9851FCB373A95D5AB75306572D4EDD754E44B63F1D29C251B0B39DB527B7D7E941C21B6C48DC99886CD1D5440D317EB7E42C14EC46DCAE56493B98h8k6N" TargetMode="External"/><Relationship Id="rId49" Type="http://schemas.openxmlformats.org/officeDocument/2006/relationships/hyperlink" Target="consultantplus://offline/ref=9851FCB373A95D5AB75306572D4EDD754E44B63F1D29C251B0B39DB527B7D7E941C21B6C48DC99886CD0DD460D317EB7E42C14EC46DCAE56493B98h8k6N" TargetMode="External"/><Relationship Id="rId10" Type="http://schemas.openxmlformats.org/officeDocument/2006/relationships/hyperlink" Target="consultantplus://offline/ref=9851FCB373A95D5AB75306572D4EDD754E44B63F1D21C153B1B39DB527B7D7E941C21B6C48DC99886CD1DC460D317EB7E42C14EC46DCAE56493B98h8k6N" TargetMode="External"/><Relationship Id="rId19" Type="http://schemas.openxmlformats.org/officeDocument/2006/relationships/hyperlink" Target="consultantplus://offline/ref=9851FCB373A95D5AB75306572D4EDD754E44B63F1D29C251B0B39DB527B7D7E941C21B6C48DC99886CD1DD470D317EB7E42C14EC46DCAE56493B98h8k6N" TargetMode="External"/><Relationship Id="rId31" Type="http://schemas.openxmlformats.org/officeDocument/2006/relationships/hyperlink" Target="consultantplus://offline/ref=9851FCB373A95D5AB75306572D4EDD754E44B63F1D21C153B1B39DB527B7D7E941C21B6C48DC99886CD1DD420D317EB7E42C14EC46DCAE56493B98h8k6N" TargetMode="External"/><Relationship Id="rId44" Type="http://schemas.openxmlformats.org/officeDocument/2006/relationships/hyperlink" Target="consultantplus://offline/ref=9851FCB373A95D5AB75306572D4EDD754E44B63F1D29C251B0B39DB527B7D7E941C21B6C48DC99886CD0DD410D317EB7E42C14EC46DCAE56493B98h8k6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FCB373A95D5AB75306572D4EDD754E44B63F1D2DC150B5B39DB527B7D7E941C21B6C48DC99886CD1DC460D317EB7E42C14EC46DCAE56493B98h8k6N" TargetMode="External"/><Relationship Id="rId14" Type="http://schemas.openxmlformats.org/officeDocument/2006/relationships/hyperlink" Target="consultantplus://offline/ref=9851FCB373A95D5AB753185A3B22827D4E4BEC35122ECB05EEECC6E870BEDDBE068D42270FD293DC3D95894D076331F3B93F17EA5AhDkFN" TargetMode="External"/><Relationship Id="rId22" Type="http://schemas.openxmlformats.org/officeDocument/2006/relationships/hyperlink" Target="consultantplus://offline/ref=9851FCB373A95D5AB75306572D4EDD754E44B63F1D29C251B0B39DB527B7D7E941C21B6C48DC99886CD1DD470D317EB7E42C14EC46DCAE56493B98h8k6N" TargetMode="External"/><Relationship Id="rId27" Type="http://schemas.openxmlformats.org/officeDocument/2006/relationships/hyperlink" Target="consultantplus://offline/ref=9851FCB373A95D5AB753185A3B22827D4E4BE134142FCB05EEECC6E870BEDDBE148D1A220DD7868864CFDE4004h6k6N" TargetMode="External"/><Relationship Id="rId30" Type="http://schemas.openxmlformats.org/officeDocument/2006/relationships/hyperlink" Target="consultantplus://offline/ref=9851FCB373A95D5AB75306572D4EDD754E44B63F1D2DC150B5B39DB527B7D7E941C21B6C48DC99886CD1DD400D317EB7E42C14EC46DCAE56493B98h8k6N" TargetMode="External"/><Relationship Id="rId35" Type="http://schemas.openxmlformats.org/officeDocument/2006/relationships/hyperlink" Target="consultantplus://offline/ref=9851FCB373A95D5AB75306572D4EDD754E44B63F1D21C153B1B39DB527B7D7E941C21B6C48DC99886CD1DD440D317EB7E42C14EC46DCAE56493B98h8k6N" TargetMode="External"/><Relationship Id="rId43" Type="http://schemas.openxmlformats.org/officeDocument/2006/relationships/hyperlink" Target="consultantplus://offline/ref=9851FCB373A95D5AB75306572D4EDD754E44B63F1D29C251B0B39DB527B7D7E941C21B6C48DC99886CD0DD400D317EB7E42C14EC46DCAE56493B98h8k6N" TargetMode="External"/><Relationship Id="rId48" Type="http://schemas.openxmlformats.org/officeDocument/2006/relationships/hyperlink" Target="consultantplus://offline/ref=9851FCB373A95D5AB75306572D4EDD754E44B63F1C29C65BB2B39DB527B7D7E941C21B6C48DC99886CD1DA490D317EB7E42C14EC46DCAE56493B98h8k6N" TargetMode="External"/><Relationship Id="rId8" Type="http://schemas.openxmlformats.org/officeDocument/2006/relationships/hyperlink" Target="consultantplus://offline/ref=9851FCB373A95D5AB75306572D4EDD754E44B63F1D29C251B0B39DB527B7D7E941C21B6C48DC99886CD1DC460D317EB7E42C14EC46DCAE56493B98h8k6N" TargetMode="External"/><Relationship Id="rId51" Type="http://schemas.openxmlformats.org/officeDocument/2006/relationships/hyperlink" Target="consultantplus://offline/ref=9851FCB373A95D5AB75306572D4EDD754E44B63F1D2DC150B5B39DB527B7D7E941C21B6C48DC99886CD1DD490D317EB7E42C14EC46DCAE56493B98h8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Кедик Мария Вячеславовна</dc:creator>
  <cp:lastModifiedBy>Кедик Мария Вячеславовна</cp:lastModifiedBy>
  <cp:revision>1</cp:revision>
  <dcterms:created xsi:type="dcterms:W3CDTF">2023-08-16T13:36:00Z</dcterms:created>
  <dcterms:modified xsi:type="dcterms:W3CDTF">2023-08-16T13:37:00Z</dcterms:modified>
</cp:coreProperties>
</file>